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5B2F" w:rsidRDefault="00AA4AC4">
      <w:pPr>
        <w:pStyle w:val="ae"/>
        <w:tabs>
          <w:tab w:val="clear" w:pos="4536"/>
          <w:tab w:val="clear" w:pos="9072"/>
          <w:tab w:val="right" w:pos="9360"/>
        </w:tabs>
        <w:rPr>
          <w:rFonts w:eastAsia="宋体"/>
          <w:sz w:val="28"/>
          <w:szCs w:val="22"/>
          <w:lang w:eastAsia="zh-CN"/>
        </w:rPr>
      </w:pPr>
      <w:bookmarkStart w:id="0" w:name="OLE_LINK34"/>
      <w:bookmarkStart w:id="1" w:name="OLE_LINK33"/>
      <w:bookmarkStart w:id="2" w:name="OLE_LINK13"/>
      <w:bookmarkStart w:id="3" w:name="OLE_LINK12"/>
      <w:r>
        <w:rPr>
          <w:sz w:val="28"/>
          <w:szCs w:val="22"/>
        </w:rPr>
        <w:t>3GPP TSG RAN WG</w:t>
      </w:r>
      <w:r>
        <w:rPr>
          <w:rFonts w:hint="eastAsia"/>
          <w:sz w:val="28"/>
          <w:szCs w:val="22"/>
        </w:rPr>
        <w:t>1</w:t>
      </w:r>
      <w:r>
        <w:rPr>
          <w:sz w:val="28"/>
          <w:szCs w:val="22"/>
        </w:rPr>
        <w:t xml:space="preserve"> Meeting</w:t>
      </w:r>
      <w:r>
        <w:rPr>
          <w:rFonts w:eastAsia="宋体" w:hint="eastAsia"/>
          <w:sz w:val="28"/>
          <w:szCs w:val="22"/>
          <w:lang w:eastAsia="zh-CN"/>
        </w:rPr>
        <w:t xml:space="preserve"> #98bis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Pr>
          <w:sz w:val="28"/>
          <w:szCs w:val="22"/>
        </w:rPr>
        <w:t>R1-1</w:t>
      </w:r>
      <w:r>
        <w:rPr>
          <w:rFonts w:eastAsia="宋体" w:hint="eastAsia"/>
          <w:sz w:val="28"/>
          <w:szCs w:val="22"/>
          <w:lang w:eastAsia="zh-CN"/>
        </w:rPr>
        <w:t>910262</w:t>
      </w:r>
    </w:p>
    <w:p w:rsidR="005F5B2F" w:rsidRDefault="00AA4AC4">
      <w:pPr>
        <w:tabs>
          <w:tab w:val="center" w:pos="4536"/>
          <w:tab w:val="right" w:pos="9639"/>
        </w:tabs>
        <w:spacing w:after="120" w:line="240" w:lineRule="auto"/>
        <w:ind w:right="2"/>
        <w:rPr>
          <w:rFonts w:ascii="Arial" w:hAnsi="Arial" w:cs="Arial"/>
          <w:b/>
          <w:bCs/>
          <w:sz w:val="28"/>
          <w:lang w:eastAsia="ja-JP"/>
        </w:rPr>
      </w:pPr>
      <w:r>
        <w:rPr>
          <w:rFonts w:ascii="Arial" w:hAnsi="Arial" w:cs="Arial" w:hint="eastAsia"/>
          <w:b/>
          <w:bCs/>
          <w:sz w:val="28"/>
        </w:rPr>
        <w:t>Chongqing</w:t>
      </w:r>
      <w:r>
        <w:rPr>
          <w:rFonts w:ascii="Arial" w:hAnsi="Arial" w:cs="Arial"/>
          <w:b/>
          <w:bCs/>
          <w:sz w:val="28"/>
          <w:lang w:eastAsia="ja-JP"/>
        </w:rPr>
        <w:t xml:space="preserve">, </w:t>
      </w:r>
      <w:r>
        <w:rPr>
          <w:rFonts w:ascii="Arial" w:hAnsi="Arial" w:cs="Arial" w:hint="eastAsia"/>
          <w:b/>
          <w:bCs/>
          <w:sz w:val="28"/>
        </w:rPr>
        <w:t>China</w:t>
      </w:r>
      <w:r>
        <w:rPr>
          <w:rFonts w:ascii="Arial" w:hAnsi="Arial" w:cs="Arial"/>
          <w:b/>
          <w:bCs/>
          <w:sz w:val="28"/>
          <w:lang w:eastAsia="ja-JP"/>
        </w:rPr>
        <w:t xml:space="preserve">, </w:t>
      </w:r>
      <w:r>
        <w:rPr>
          <w:rFonts w:ascii="Arial" w:hAnsi="Arial" w:cs="Arial" w:hint="eastAsia"/>
          <w:b/>
          <w:bCs/>
          <w:sz w:val="28"/>
        </w:rPr>
        <w:t>Oct 14</w:t>
      </w:r>
      <w:r>
        <w:rPr>
          <w:rFonts w:ascii="Arial" w:hAnsi="Arial" w:cs="Arial"/>
          <w:b/>
          <w:bCs/>
          <w:sz w:val="28"/>
          <w:lang w:eastAsia="ja-JP"/>
        </w:rPr>
        <w:t xml:space="preserve">th – </w:t>
      </w:r>
      <w:r>
        <w:rPr>
          <w:rFonts w:ascii="Arial" w:hAnsi="Arial" w:cs="Arial" w:hint="eastAsia"/>
          <w:b/>
          <w:bCs/>
          <w:sz w:val="28"/>
        </w:rPr>
        <w:t>20</w:t>
      </w:r>
      <w:r>
        <w:rPr>
          <w:rFonts w:ascii="Arial" w:hAnsi="Arial" w:cs="Arial"/>
          <w:b/>
          <w:bCs/>
          <w:sz w:val="28"/>
          <w:lang w:eastAsia="ja-JP"/>
        </w:rPr>
        <w:t>th, 2019</w:t>
      </w:r>
    </w:p>
    <w:p w:rsidR="005F5B2F" w:rsidRDefault="005F5B2F">
      <w:pPr>
        <w:pStyle w:val="ae"/>
        <w:tabs>
          <w:tab w:val="clear" w:pos="4536"/>
        </w:tabs>
        <w:rPr>
          <w:rFonts w:cs="Arial"/>
          <w:bCs/>
          <w:sz w:val="28"/>
          <w:lang w:eastAsia="ja-JP"/>
        </w:rPr>
      </w:pPr>
    </w:p>
    <w:p w:rsidR="005F5B2F" w:rsidRDefault="00AA4AC4">
      <w:pPr>
        <w:pStyle w:val="ae"/>
        <w:tabs>
          <w:tab w:val="clear" w:pos="4536"/>
        </w:tabs>
        <w:rPr>
          <w:sz w:val="24"/>
          <w:szCs w:val="22"/>
        </w:rPr>
      </w:pPr>
      <w:r>
        <w:rPr>
          <w:sz w:val="24"/>
          <w:szCs w:val="22"/>
        </w:rPr>
        <w:t>Source:</w:t>
      </w:r>
      <w:r>
        <w:rPr>
          <w:rFonts w:eastAsia="宋体" w:hint="eastAsia"/>
          <w:sz w:val="24"/>
          <w:szCs w:val="22"/>
          <w:lang w:eastAsia="zh-CN"/>
        </w:rPr>
        <w:t xml:space="preserve">               </w:t>
      </w:r>
      <w:r>
        <w:rPr>
          <w:sz w:val="24"/>
          <w:szCs w:val="22"/>
        </w:rPr>
        <w:t>ZTE</w:t>
      </w:r>
    </w:p>
    <w:p w:rsidR="005F5B2F" w:rsidRDefault="00AA4AC4">
      <w:pPr>
        <w:pStyle w:val="ae"/>
        <w:tabs>
          <w:tab w:val="clear" w:pos="4536"/>
        </w:tabs>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hint="eastAsia"/>
          <w:sz w:val="24"/>
          <w:szCs w:val="22"/>
          <w:lang w:eastAsia="zh-CN"/>
        </w:rPr>
        <w:t xml:space="preserve"> Discussion on Wake-up signal for </w:t>
      </w:r>
      <w:r>
        <w:rPr>
          <w:rFonts w:eastAsia="宋体"/>
          <w:sz w:val="24"/>
          <w:szCs w:val="22"/>
          <w:lang w:eastAsia="zh-CN"/>
        </w:rPr>
        <w:t>MTC</w:t>
      </w:r>
    </w:p>
    <w:p w:rsidR="005F5B2F" w:rsidRDefault="00AA4AC4">
      <w:pPr>
        <w:pStyle w:val="ae"/>
        <w:tabs>
          <w:tab w:val="clear" w:pos="4536"/>
        </w:tabs>
        <w:rPr>
          <w:rFonts w:eastAsia="宋体"/>
          <w:sz w:val="24"/>
          <w:szCs w:val="22"/>
          <w:highlight w:val="yellow"/>
          <w:lang w:eastAsia="zh-CN"/>
        </w:rPr>
      </w:pPr>
      <w:r>
        <w:rPr>
          <w:sz w:val="24"/>
          <w:szCs w:val="22"/>
        </w:rPr>
        <w:t>Agenda item:</w:t>
      </w:r>
      <w:r>
        <w:rPr>
          <w:rFonts w:hint="eastAsia"/>
          <w:sz w:val="24"/>
          <w:szCs w:val="22"/>
        </w:rPr>
        <w:t xml:space="preserve">      </w:t>
      </w:r>
      <w:r>
        <w:rPr>
          <w:rFonts w:eastAsia="宋体"/>
          <w:sz w:val="24"/>
          <w:szCs w:val="22"/>
          <w:lang w:eastAsia="zh-CN"/>
        </w:rPr>
        <w:t>6.2.</w:t>
      </w:r>
      <w:r>
        <w:rPr>
          <w:rFonts w:eastAsia="宋体" w:hint="eastAsia"/>
          <w:sz w:val="24"/>
          <w:szCs w:val="22"/>
          <w:lang w:eastAsia="zh-CN"/>
        </w:rPr>
        <w:t>1</w:t>
      </w:r>
      <w:r>
        <w:rPr>
          <w:rFonts w:eastAsia="宋体"/>
          <w:sz w:val="24"/>
          <w:szCs w:val="22"/>
          <w:lang w:eastAsia="zh-CN"/>
        </w:rPr>
        <w:t>.</w:t>
      </w:r>
      <w:r>
        <w:rPr>
          <w:rFonts w:eastAsia="宋体" w:hint="eastAsia"/>
          <w:sz w:val="24"/>
          <w:szCs w:val="22"/>
          <w:lang w:eastAsia="zh-CN"/>
        </w:rPr>
        <w:t>1</w:t>
      </w:r>
    </w:p>
    <w:p w:rsidR="005F5B2F" w:rsidRDefault="00AA4AC4">
      <w:pPr>
        <w:pStyle w:val="ae"/>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5F5B2F" w:rsidRDefault="005F5B2F">
      <w:pPr>
        <w:pBdr>
          <w:bottom w:val="single" w:sz="4" w:space="1" w:color="auto"/>
        </w:pBdr>
        <w:tabs>
          <w:tab w:val="left" w:pos="2552"/>
        </w:tabs>
        <w:rPr>
          <w:sz w:val="24"/>
        </w:rPr>
      </w:pPr>
    </w:p>
    <w:p w:rsidR="005F5B2F" w:rsidRDefault="00AA4AC4">
      <w:pPr>
        <w:pStyle w:val="1"/>
        <w:spacing w:beforeLines="50" w:before="120" w:afterLines="50" w:after="120" w:line="360" w:lineRule="auto"/>
        <w:ind w:left="431" w:hanging="431"/>
        <w:rPr>
          <w:rFonts w:eastAsia="宋体"/>
          <w:lang w:val="en-US"/>
        </w:rPr>
      </w:pPr>
      <w:r>
        <w:rPr>
          <w:lang w:val="en-US"/>
        </w:rPr>
        <w:t>Introduction</w:t>
      </w:r>
    </w:p>
    <w:p w:rsidR="005F5B2F" w:rsidRDefault="00AA4AC4">
      <w:pPr>
        <w:spacing w:beforeLines="50" w:before="120" w:afterLines="50" w:after="120"/>
        <w:ind w:rightChars="50" w:right="110"/>
        <w:jc w:val="both"/>
        <w:rPr>
          <w:rFonts w:ascii="Times New Roman" w:hAnsi="Times New Roman"/>
          <w:sz w:val="20"/>
          <w:szCs w:val="20"/>
        </w:rPr>
      </w:pPr>
      <w:bookmarkStart w:id="5" w:name="OLE_LINK7"/>
      <w:bookmarkStart w:id="6" w:name="OLE_LINK6"/>
      <w:bookmarkStart w:id="7" w:name="OLE_LINK2"/>
      <w:bookmarkStart w:id="8" w:name="OLE_LINK1"/>
      <w:bookmarkEnd w:id="2"/>
      <w:bookmarkEnd w:id="3"/>
      <w:r>
        <w:rPr>
          <w:rFonts w:ascii="Times New Roman" w:hAnsi="Times New Roman"/>
          <w:sz w:val="20"/>
          <w:szCs w:val="20"/>
        </w:rPr>
        <w:t>In RAN</w:t>
      </w:r>
      <w:r>
        <w:rPr>
          <w:rFonts w:ascii="Times New Roman" w:hAnsi="Times New Roman" w:hint="eastAsia"/>
          <w:sz w:val="20"/>
          <w:szCs w:val="20"/>
        </w:rPr>
        <w:t xml:space="preserve"> #8</w:t>
      </w:r>
      <w:r>
        <w:rPr>
          <w:rFonts w:ascii="Times New Roman" w:hAnsi="Times New Roman"/>
          <w:sz w:val="20"/>
          <w:szCs w:val="20"/>
        </w:rPr>
        <w:t>1 meeting, revised</w:t>
      </w:r>
      <w:r>
        <w:rPr>
          <w:rFonts w:ascii="Times New Roman" w:hAnsi="Times New Roman" w:hint="eastAsia"/>
          <w:sz w:val="20"/>
          <w:szCs w:val="20"/>
        </w:rPr>
        <w:t xml:space="preserve"> WID RP-181</w:t>
      </w:r>
      <w:r>
        <w:rPr>
          <w:rFonts w:ascii="Times New Roman" w:hAnsi="Times New Roman"/>
          <w:sz w:val="20"/>
          <w:szCs w:val="20"/>
        </w:rPr>
        <w:t>878</w:t>
      </w:r>
      <w:r>
        <w:rPr>
          <w:rFonts w:ascii="Times New Roman" w:hAnsi="Times New Roman" w:hint="eastAsia"/>
          <w:sz w:val="20"/>
          <w:szCs w:val="20"/>
        </w:rPr>
        <w:t xml:space="preserve"> on Rel</w:t>
      </w:r>
      <w:r>
        <w:rPr>
          <w:rFonts w:ascii="Times New Roman" w:hAnsi="Times New Roman"/>
          <w:sz w:val="20"/>
          <w:szCs w:val="20"/>
        </w:rPr>
        <w:t>-</w:t>
      </w:r>
      <w:r>
        <w:rPr>
          <w:rFonts w:ascii="Times New Roman" w:hAnsi="Times New Roman" w:hint="eastAsia"/>
          <w:sz w:val="20"/>
          <w:szCs w:val="20"/>
        </w:rPr>
        <w:t xml:space="preserve">16 MTC </w:t>
      </w:r>
      <w:r>
        <w:rPr>
          <w:rFonts w:ascii="Times New Roman" w:hAnsi="Times New Roman"/>
          <w:sz w:val="20"/>
          <w:szCs w:val="20"/>
        </w:rPr>
        <w:t>enhance</w:t>
      </w:r>
      <w:r>
        <w:rPr>
          <w:rFonts w:ascii="Times New Roman" w:hAnsi="Times New Roman" w:hint="eastAsia"/>
          <w:sz w:val="20"/>
          <w:szCs w:val="20"/>
        </w:rPr>
        <w:t>ments for LTE was agreed [1]. One of the objectives is to improve DL transmission efficiency and/or UE power consumption.</w:t>
      </w:r>
    </w:p>
    <w:p w:rsidR="005F5B2F" w:rsidRDefault="00AA4AC4">
      <w:pPr>
        <w:spacing w:beforeLines="50" w:before="120" w:afterLines="50" w:after="120"/>
        <w:ind w:rightChars="50" w:right="110"/>
        <w:rPr>
          <w:rFonts w:ascii="Times New Roman" w:hAnsi="Times New Roman"/>
          <w:b/>
          <w:bCs/>
          <w:sz w:val="20"/>
          <w:szCs w:val="20"/>
        </w:rPr>
      </w:pPr>
      <w:r>
        <w:rPr>
          <w:rFonts w:ascii="Times New Roman" w:hAnsi="Times New Roman"/>
          <w:b/>
          <w:bCs/>
          <w:sz w:val="20"/>
          <w:szCs w:val="20"/>
        </w:rPr>
        <w:t>Improved DL transmission efficiency and/or UE power consumption:</w:t>
      </w:r>
    </w:p>
    <w:p w:rsidR="005F5B2F" w:rsidRDefault="00AA4AC4">
      <w:pPr>
        <w:numPr>
          <w:ilvl w:val="0"/>
          <w:numId w:val="2"/>
        </w:numPr>
        <w:spacing w:beforeLines="20" w:before="48" w:afterLines="20" w:after="48"/>
        <w:ind w:left="714" w:rightChars="50" w:right="110" w:hanging="357"/>
        <w:rPr>
          <w:rFonts w:ascii="Times New Roman" w:hAnsi="Times New Roman"/>
          <w:bCs/>
          <w:sz w:val="20"/>
          <w:szCs w:val="20"/>
        </w:rPr>
      </w:pPr>
      <w:r>
        <w:rPr>
          <w:rFonts w:ascii="Times New Roman" w:hAnsi="Times New Roman"/>
          <w:bCs/>
          <w:sz w:val="20"/>
          <w:szCs w:val="20"/>
        </w:rPr>
        <w:t>Specify support for mobile-terminated (MT) early data transmission (EDT) [RAN2, RAN3]</w:t>
      </w:r>
    </w:p>
    <w:p w:rsidR="005F5B2F" w:rsidRDefault="00AA4AC4">
      <w:pPr>
        <w:numPr>
          <w:ilvl w:val="0"/>
          <w:numId w:val="2"/>
        </w:numPr>
        <w:spacing w:beforeLines="20" w:before="48" w:afterLines="20" w:after="48"/>
        <w:ind w:left="714" w:rightChars="50" w:right="110" w:hanging="357"/>
        <w:rPr>
          <w:rFonts w:ascii="Times New Roman" w:hAnsi="Times New Roman"/>
          <w:bCs/>
          <w:sz w:val="20"/>
          <w:szCs w:val="20"/>
        </w:rPr>
      </w:pPr>
      <w:bookmarkStart w:id="9" w:name="_Hlk515907705"/>
      <w:r>
        <w:rPr>
          <w:rFonts w:ascii="Times New Roman" w:hAnsi="Times New Roman"/>
          <w:bCs/>
          <w:sz w:val="20"/>
          <w:szCs w:val="20"/>
        </w:rPr>
        <w:t>Specify quality report in MSG3 at least for EDT [RAN1, RAN2]</w:t>
      </w:r>
    </w:p>
    <w:bookmarkEnd w:id="9"/>
    <w:p w:rsidR="005F5B2F" w:rsidRDefault="00AA4AC4">
      <w:pPr>
        <w:numPr>
          <w:ilvl w:val="0"/>
          <w:numId w:val="2"/>
        </w:numPr>
        <w:spacing w:beforeLines="20" w:before="48" w:afterLines="20" w:after="48"/>
        <w:ind w:left="714" w:rightChars="50" w:right="110" w:hanging="357"/>
        <w:rPr>
          <w:rFonts w:ascii="Times New Roman" w:hAnsi="Times New Roman"/>
          <w:bCs/>
          <w:sz w:val="20"/>
          <w:szCs w:val="20"/>
        </w:rPr>
      </w:pPr>
      <w:r>
        <w:rPr>
          <w:rFonts w:ascii="Times New Roman" w:hAnsi="Times New Roman"/>
          <w:bCs/>
          <w:sz w:val="20"/>
          <w:szCs w:val="20"/>
        </w:rPr>
        <w:t>Specify MPDCCH performance improvement by using CRS at least for connected mode [RAN1, RAN2, RAN4]</w:t>
      </w:r>
    </w:p>
    <w:p w:rsidR="005F5B2F" w:rsidRDefault="00AA4AC4">
      <w:pPr>
        <w:numPr>
          <w:ilvl w:val="0"/>
          <w:numId w:val="2"/>
        </w:numPr>
        <w:spacing w:beforeLines="20" w:before="48" w:afterLines="20" w:after="48"/>
        <w:ind w:left="714" w:rightChars="50" w:right="110" w:hanging="357"/>
        <w:rPr>
          <w:rFonts w:ascii="Times New Roman" w:hAnsi="Times New Roman"/>
          <w:bCs/>
          <w:sz w:val="20"/>
          <w:szCs w:val="20"/>
        </w:rPr>
      </w:pPr>
      <w:r>
        <w:rPr>
          <w:rFonts w:ascii="Times New Roman" w:hAnsi="Times New Roman"/>
          <w:bCs/>
          <w:sz w:val="20"/>
          <w:szCs w:val="20"/>
        </w:rPr>
        <w:t>Specify support for UE-group wake-up signal (WUS) [RAN1, RAN2, RAN4]</w:t>
      </w:r>
    </w:p>
    <w:bookmarkEnd w:id="5"/>
    <w:bookmarkEnd w:id="6"/>
    <w:p w:rsidR="005F5B2F" w:rsidRDefault="00AA4AC4">
      <w:pPr>
        <w:spacing w:beforeLines="50" w:before="120" w:afterLines="50" w:after="120"/>
        <w:ind w:rightChars="50" w:right="110"/>
        <w:rPr>
          <w:rFonts w:ascii="Times New Roman" w:hAnsi="Times New Roman"/>
          <w:sz w:val="20"/>
          <w:szCs w:val="20"/>
        </w:rPr>
      </w:pPr>
      <w:r>
        <w:rPr>
          <w:rFonts w:ascii="Times New Roman" w:hAnsi="Times New Roman" w:hint="eastAsia"/>
          <w:sz w:val="20"/>
          <w:szCs w:val="20"/>
        </w:rPr>
        <w:t xml:space="preserve">In this contribution, </w:t>
      </w:r>
      <w:r>
        <w:rPr>
          <w:rFonts w:ascii="Times New Roman" w:hAnsi="Times New Roman"/>
          <w:sz w:val="20"/>
          <w:szCs w:val="20"/>
        </w:rPr>
        <w:t>we discuss</w:t>
      </w:r>
      <w:r>
        <w:rPr>
          <w:rFonts w:ascii="Times New Roman" w:hAnsi="Times New Roman" w:hint="eastAsia"/>
          <w:sz w:val="20"/>
          <w:szCs w:val="20"/>
        </w:rPr>
        <w:t xml:space="preserve"> the </w:t>
      </w:r>
      <w:bookmarkEnd w:id="7"/>
      <w:bookmarkEnd w:id="8"/>
      <w:r>
        <w:rPr>
          <w:rFonts w:ascii="Times New Roman" w:hAnsi="Times New Roman" w:hint="eastAsia"/>
          <w:sz w:val="20"/>
          <w:szCs w:val="20"/>
        </w:rPr>
        <w:t>UE group wake-up signal for MTC.</w:t>
      </w:r>
    </w:p>
    <w:p w:rsidR="005F5B2F" w:rsidRDefault="00AA4AC4">
      <w:pPr>
        <w:pStyle w:val="1"/>
        <w:spacing w:beforeLines="50" w:before="120" w:afterLines="50" w:after="120" w:line="360" w:lineRule="auto"/>
        <w:ind w:left="431" w:hanging="431"/>
        <w:rPr>
          <w:lang w:val="en-US"/>
        </w:rPr>
      </w:pPr>
      <w:r>
        <w:rPr>
          <w:rFonts w:hint="eastAsia"/>
          <w:lang w:val="en-US"/>
        </w:rPr>
        <w:t>Discussion on MTC wake-up signal</w:t>
      </w:r>
    </w:p>
    <w:p w:rsidR="005F5B2F" w:rsidRDefault="00AA4AC4">
      <w:pPr>
        <w:pStyle w:val="2"/>
        <w:spacing w:beforeLines="50" w:afterLines="50"/>
      </w:pPr>
      <w:r>
        <w:rPr>
          <w:rFonts w:hint="eastAsia"/>
        </w:rPr>
        <w:t>UE-group MWUS resource</w:t>
      </w:r>
    </w:p>
    <w:p w:rsidR="005F5B2F" w:rsidRDefault="00AA4AC4">
      <w:pPr>
        <w:spacing w:beforeLines="50" w:before="120" w:afterLines="50" w:after="120"/>
        <w:jc w:val="both"/>
        <w:rPr>
          <w:rFonts w:ascii="Times New Roman" w:hAnsi="Times New Roman"/>
          <w:sz w:val="20"/>
          <w:szCs w:val="20"/>
        </w:rPr>
      </w:pPr>
      <w:r>
        <w:rPr>
          <w:rFonts w:ascii="Times New Roman" w:hAnsi="Times New Roman"/>
          <w:sz w:val="20"/>
          <w:szCs w:val="20"/>
        </w:rPr>
        <w:t xml:space="preserve">In RAN1#98 meeting, the following conclusion was made for </w:t>
      </w:r>
      <w:r>
        <w:rPr>
          <w:rFonts w:ascii="Times New Roman" w:hAnsi="Times New Roman" w:hint="eastAsia"/>
          <w:sz w:val="20"/>
          <w:szCs w:val="20"/>
        </w:rPr>
        <w:t xml:space="preserve">UE-group </w:t>
      </w:r>
      <w:r>
        <w:rPr>
          <w:rFonts w:ascii="Times New Roman" w:hAnsi="Times New Roman"/>
          <w:sz w:val="20"/>
          <w:szCs w:val="20"/>
        </w:rPr>
        <w:t>MWUS resource of Rel-16 group MWUS:</w:t>
      </w:r>
    </w:p>
    <w:p w:rsidR="005F5B2F" w:rsidRDefault="00AA4AC4">
      <w:pPr>
        <w:spacing w:beforeLines="50" w:before="120" w:afterLines="50" w:after="120"/>
        <w:rPr>
          <w:rFonts w:ascii="Times New Roman" w:hAnsi="Times New Roman"/>
          <w:sz w:val="20"/>
          <w:szCs w:val="20"/>
        </w:rPr>
      </w:pPr>
      <w:r>
        <w:rPr>
          <w:rFonts w:ascii="Times New Roman" w:hAnsi="Times New Roman"/>
          <w:sz w:val="20"/>
          <w:szCs w:val="20"/>
        </w:rPr>
        <w:t>Both options can be configured simultaneously to have up to 4 orthogonal WUS resources including legacy WUS resource</w:t>
      </w:r>
    </w:p>
    <w:p w:rsidR="005F5B2F" w:rsidRDefault="00AA4AC4">
      <w:pPr>
        <w:numPr>
          <w:ilvl w:val="0"/>
          <w:numId w:val="3"/>
        </w:numPr>
        <w:spacing w:beforeLines="50" w:before="120" w:afterLines="50" w:after="120"/>
        <w:rPr>
          <w:rFonts w:ascii="Times New Roman" w:hAnsi="Times New Roman"/>
          <w:sz w:val="20"/>
          <w:szCs w:val="20"/>
        </w:rPr>
      </w:pPr>
      <w:r>
        <w:rPr>
          <w:rFonts w:ascii="Times New Roman" w:hAnsi="Times New Roman"/>
          <w:sz w:val="20"/>
          <w:szCs w:val="20"/>
        </w:rPr>
        <w:t>Up to 2 orthogonal resources including legacy WUS resource may be configured in time domain</w:t>
      </w:r>
    </w:p>
    <w:p w:rsidR="005F5B2F" w:rsidRDefault="00AA4AC4">
      <w:pPr>
        <w:numPr>
          <w:ilvl w:val="0"/>
          <w:numId w:val="3"/>
        </w:numPr>
        <w:spacing w:beforeLines="50" w:before="120" w:afterLines="50" w:after="120"/>
        <w:rPr>
          <w:rFonts w:ascii="Times New Roman" w:hAnsi="Times New Roman"/>
          <w:sz w:val="20"/>
          <w:szCs w:val="20"/>
        </w:rPr>
      </w:pPr>
      <w:r>
        <w:rPr>
          <w:rFonts w:ascii="Times New Roman" w:hAnsi="Times New Roman"/>
          <w:sz w:val="20"/>
          <w:szCs w:val="20"/>
        </w:rPr>
        <w:t>Up to 2 orthogonal resources may be configured in frequency domain</w:t>
      </w:r>
    </w:p>
    <w:p w:rsidR="005F5B2F" w:rsidRDefault="00AA4AC4">
      <w:pPr>
        <w:spacing w:beforeLines="50" w:before="120" w:afterLines="50" w:after="120"/>
        <w:rPr>
          <w:rFonts w:ascii="Times New Roman" w:hAnsi="Times New Roman"/>
          <w:sz w:val="20"/>
          <w:szCs w:val="20"/>
        </w:rPr>
      </w:pPr>
      <w:r>
        <w:rPr>
          <w:rFonts w:ascii="Times New Roman" w:hAnsi="Times New Roman"/>
          <w:sz w:val="20"/>
          <w:szCs w:val="20"/>
        </w:rPr>
        <w:t>Note: The two orthogonal resources do not necessarily include the legacy WUS resource</w:t>
      </w:r>
    </w:p>
    <w:p w:rsidR="005F5B2F" w:rsidRDefault="00AA4AC4">
      <w:pPr>
        <w:spacing w:beforeLines="50" w:before="120" w:afterLines="50" w:after="120"/>
        <w:jc w:val="both"/>
        <w:rPr>
          <w:rFonts w:cs="Times"/>
          <w:sz w:val="20"/>
          <w:szCs w:val="20"/>
        </w:rPr>
      </w:pPr>
      <w:r>
        <w:rPr>
          <w:rFonts w:ascii="Times New Roman" w:hAnsi="Times New Roman"/>
          <w:sz w:val="20"/>
          <w:szCs w:val="20"/>
        </w:rPr>
        <w:t>Based on the agreement</w:t>
      </w:r>
      <w:r>
        <w:rPr>
          <w:rFonts w:ascii="Times New Roman" w:hAnsi="Times New Roman" w:hint="eastAsia"/>
          <w:sz w:val="20"/>
          <w:szCs w:val="20"/>
        </w:rPr>
        <w:t>, there may be three UE-group MWUS resources in frequency domain. The performance of UE-group MWUS is influenced because the power shared for each UE-group MWUS transmission is degraded when there are three UE-group MWUS resources in frequency domain. Therefore, we propose that up to 2 orthogonal resources including legacy MWUS resources may be configured in frequency domain.</w:t>
      </w:r>
    </w:p>
    <w:p w:rsidR="005F5B2F" w:rsidRDefault="00AA4AC4">
      <w:pPr>
        <w:spacing w:beforeLines="50" w:before="120" w:afterLines="50" w:after="120"/>
        <w:rPr>
          <w:rFonts w:ascii="Times New Roman" w:hAnsi="Times New Roman"/>
          <w:b/>
          <w:bCs/>
          <w:i/>
          <w:iCs/>
          <w:sz w:val="20"/>
          <w:szCs w:val="20"/>
        </w:rPr>
      </w:pPr>
      <w:r>
        <w:rPr>
          <w:rFonts w:ascii="Times New Roman" w:hAnsi="Times New Roman"/>
          <w:b/>
          <w:bCs/>
          <w:i/>
          <w:iCs/>
          <w:sz w:val="20"/>
          <w:szCs w:val="20"/>
        </w:rPr>
        <w:t xml:space="preserve">Proposal 1: </w:t>
      </w:r>
      <w:r>
        <w:rPr>
          <w:rFonts w:ascii="Times New Roman" w:hAnsi="Times New Roman" w:hint="eastAsia"/>
          <w:b/>
          <w:bCs/>
          <w:i/>
          <w:iCs/>
          <w:sz w:val="20"/>
          <w:szCs w:val="20"/>
        </w:rPr>
        <w:t>U</w:t>
      </w:r>
      <w:r>
        <w:rPr>
          <w:rFonts w:ascii="Times New Roman" w:hAnsi="Times New Roman"/>
          <w:b/>
          <w:bCs/>
          <w:i/>
          <w:iCs/>
          <w:sz w:val="20"/>
          <w:szCs w:val="20"/>
        </w:rPr>
        <w:t xml:space="preserve">p to 2 orthogonal resources including legacy </w:t>
      </w:r>
      <w:r>
        <w:rPr>
          <w:rFonts w:ascii="Times New Roman" w:hAnsi="Times New Roman" w:hint="eastAsia"/>
          <w:b/>
          <w:bCs/>
          <w:i/>
          <w:iCs/>
          <w:sz w:val="20"/>
          <w:szCs w:val="20"/>
        </w:rPr>
        <w:t>M</w:t>
      </w:r>
      <w:r>
        <w:rPr>
          <w:rFonts w:ascii="Times New Roman" w:hAnsi="Times New Roman"/>
          <w:b/>
          <w:bCs/>
          <w:i/>
          <w:iCs/>
          <w:sz w:val="20"/>
          <w:szCs w:val="20"/>
        </w:rPr>
        <w:t>WUS resource may be config</w:t>
      </w:r>
      <w:r>
        <w:rPr>
          <w:rFonts w:ascii="Times New Roman" w:hAnsi="Times New Roman" w:hint="eastAsia"/>
          <w:b/>
          <w:bCs/>
          <w:i/>
          <w:iCs/>
          <w:sz w:val="20"/>
          <w:szCs w:val="20"/>
        </w:rPr>
        <w:t>u</w:t>
      </w:r>
      <w:r>
        <w:rPr>
          <w:rFonts w:ascii="Times New Roman" w:hAnsi="Times New Roman"/>
          <w:b/>
          <w:bCs/>
          <w:i/>
          <w:iCs/>
          <w:sz w:val="20"/>
          <w:szCs w:val="20"/>
        </w:rPr>
        <w:t>red in frequency domain.</w:t>
      </w:r>
    </w:p>
    <w:p w:rsidR="005F5B2F" w:rsidRDefault="00AA4AC4">
      <w:pPr>
        <w:spacing w:beforeLines="50" w:before="120" w:afterLines="50" w:after="120"/>
        <w:jc w:val="both"/>
        <w:rPr>
          <w:rFonts w:ascii="Times New Roman" w:hAnsi="Times New Roman"/>
          <w:sz w:val="20"/>
          <w:szCs w:val="20"/>
        </w:rPr>
      </w:pPr>
      <w:r>
        <w:rPr>
          <w:rFonts w:ascii="Times New Roman" w:hAnsi="Times New Roman" w:hint="eastAsia"/>
          <w:sz w:val="20"/>
          <w:szCs w:val="20"/>
        </w:rPr>
        <w:t>For flexibility, all configurations of UE-group MWUS resource should be supported. For example the configurations that the second UE-group MWUS resource is</w:t>
      </w:r>
      <w:r>
        <w:rPr>
          <w:rFonts w:ascii="Times New Roman" w:hAnsi="Times New Roman"/>
          <w:sz w:val="20"/>
          <w:szCs w:val="20"/>
        </w:rPr>
        <w:t xml:space="preserve"> ab</w:t>
      </w:r>
      <w:r>
        <w:rPr>
          <w:rFonts w:ascii="Times New Roman" w:hAnsi="Times New Roman" w:hint="eastAsia"/>
          <w:sz w:val="20"/>
          <w:szCs w:val="20"/>
        </w:rPr>
        <w:t xml:space="preserve">ove or below the first UE-group MWUS resource </w:t>
      </w:r>
      <w:r>
        <w:rPr>
          <w:rFonts w:ascii="Times New Roman" w:hAnsi="Times New Roman"/>
          <w:sz w:val="20"/>
          <w:szCs w:val="20"/>
        </w:rPr>
        <w:t>when there are two</w:t>
      </w:r>
      <w:r>
        <w:rPr>
          <w:rFonts w:ascii="Times New Roman" w:hAnsi="Times New Roman" w:hint="eastAsia"/>
          <w:sz w:val="20"/>
          <w:szCs w:val="20"/>
        </w:rPr>
        <w:t xml:space="preserve"> UE-group</w:t>
      </w:r>
      <w:r>
        <w:rPr>
          <w:rFonts w:ascii="Times New Roman" w:hAnsi="Times New Roman"/>
          <w:sz w:val="20"/>
          <w:szCs w:val="20"/>
        </w:rPr>
        <w:t xml:space="preserve"> MWUS resources in frequency domain and the first </w:t>
      </w:r>
      <w:r>
        <w:rPr>
          <w:rFonts w:ascii="Times New Roman" w:hAnsi="Times New Roman" w:hint="eastAsia"/>
          <w:sz w:val="20"/>
          <w:szCs w:val="20"/>
        </w:rPr>
        <w:t>UE-group M</w:t>
      </w:r>
      <w:r>
        <w:rPr>
          <w:rFonts w:ascii="Times New Roman" w:hAnsi="Times New Roman"/>
          <w:sz w:val="20"/>
          <w:szCs w:val="20"/>
        </w:rPr>
        <w:t xml:space="preserve">WUS resource is configured to </w:t>
      </w:r>
      <w:r>
        <w:rPr>
          <w:rFonts w:ascii="Times New Roman" w:hAnsi="Times New Roman"/>
          <w:bCs/>
          <w:sz w:val="20"/>
          <w:szCs w:val="20"/>
        </w:rPr>
        <w:t xml:space="preserve">coincide with legacy </w:t>
      </w:r>
      <w:r>
        <w:rPr>
          <w:rFonts w:ascii="Times New Roman" w:hAnsi="Times New Roman" w:hint="eastAsia"/>
          <w:bCs/>
          <w:sz w:val="20"/>
          <w:szCs w:val="20"/>
        </w:rPr>
        <w:t>M</w:t>
      </w:r>
      <w:r>
        <w:rPr>
          <w:rFonts w:ascii="Times New Roman" w:hAnsi="Times New Roman"/>
          <w:bCs/>
          <w:sz w:val="20"/>
          <w:szCs w:val="20"/>
        </w:rPr>
        <w:t>WUS resource</w:t>
      </w:r>
      <w:r>
        <w:rPr>
          <w:rFonts w:ascii="Times New Roman" w:hAnsi="Times New Roman" w:hint="eastAsia"/>
          <w:bCs/>
          <w:sz w:val="20"/>
          <w:szCs w:val="20"/>
        </w:rPr>
        <w:t xml:space="preserve"> should be supported</w:t>
      </w:r>
      <w:r>
        <w:rPr>
          <w:rFonts w:ascii="Times New Roman" w:hAnsi="Times New Roman" w:hint="eastAsia"/>
          <w:sz w:val="20"/>
          <w:szCs w:val="20"/>
        </w:rPr>
        <w:t>.</w:t>
      </w:r>
    </w:p>
    <w:p w:rsidR="005F5B2F" w:rsidRDefault="00AA4AC4">
      <w:pPr>
        <w:spacing w:beforeLines="50" w:before="120" w:afterLines="50" w:after="120"/>
        <w:jc w:val="both"/>
        <w:rPr>
          <w:rFonts w:ascii="Times New Roman" w:hAnsi="Times New Roman"/>
          <w:sz w:val="20"/>
          <w:szCs w:val="20"/>
        </w:rPr>
      </w:pPr>
      <w:r>
        <w:rPr>
          <w:rFonts w:ascii="Times New Roman" w:hAnsi="Times New Roman"/>
          <w:sz w:val="20"/>
          <w:szCs w:val="20"/>
        </w:rPr>
        <w:t>But</w:t>
      </w:r>
      <w:r>
        <w:rPr>
          <w:rFonts w:ascii="Times New Roman" w:hAnsi="Times New Roman" w:hint="eastAsia"/>
          <w:sz w:val="20"/>
          <w:szCs w:val="20"/>
        </w:rPr>
        <w:t xml:space="preserve"> </w:t>
      </w:r>
      <w:r>
        <w:rPr>
          <w:rFonts w:ascii="Times New Roman" w:hAnsi="Times New Roman"/>
          <w:sz w:val="20"/>
          <w:szCs w:val="20"/>
        </w:rPr>
        <w:t>co</w:t>
      </w:r>
      <w:r>
        <w:rPr>
          <w:rFonts w:ascii="Times New Roman" w:hAnsi="Times New Roman" w:hint="eastAsia"/>
          <w:sz w:val="20"/>
          <w:szCs w:val="20"/>
        </w:rPr>
        <w:t>n</w:t>
      </w:r>
      <w:r>
        <w:rPr>
          <w:rFonts w:ascii="Times New Roman" w:hAnsi="Times New Roman"/>
          <w:sz w:val="20"/>
          <w:szCs w:val="20"/>
        </w:rPr>
        <w:t xml:space="preserve">sidering the actual gap should be no less than the </w:t>
      </w:r>
      <w:r>
        <w:rPr>
          <w:rFonts w:ascii="Times New Roman" w:hAnsi="Times New Roman" w:hint="eastAsia"/>
          <w:sz w:val="20"/>
          <w:szCs w:val="20"/>
        </w:rPr>
        <w:t xml:space="preserve">configured </w:t>
      </w:r>
      <w:r>
        <w:rPr>
          <w:rFonts w:ascii="Times New Roman" w:hAnsi="Times New Roman"/>
          <w:sz w:val="20"/>
          <w:szCs w:val="20"/>
        </w:rPr>
        <w:t>gap</w:t>
      </w:r>
      <w:r>
        <w:rPr>
          <w:rFonts w:ascii="Times New Roman" w:hAnsi="Times New Roman" w:hint="eastAsia"/>
          <w:sz w:val="20"/>
          <w:szCs w:val="20"/>
        </w:rPr>
        <w:t xml:space="preserve">, only the configuration of UE-group MWUS resource that the second UE-group MWUS resource is before the first UE-group MWUS resource should be supported </w:t>
      </w:r>
      <w:r>
        <w:rPr>
          <w:rFonts w:ascii="Times New Roman" w:hAnsi="Times New Roman"/>
          <w:sz w:val="20"/>
          <w:szCs w:val="20"/>
        </w:rPr>
        <w:t xml:space="preserve">when there are two </w:t>
      </w:r>
      <w:r>
        <w:rPr>
          <w:rFonts w:ascii="Times New Roman" w:hAnsi="Times New Roman" w:hint="eastAsia"/>
          <w:sz w:val="20"/>
          <w:szCs w:val="20"/>
        </w:rPr>
        <w:t>UE-group MWUS</w:t>
      </w:r>
      <w:r>
        <w:rPr>
          <w:rFonts w:ascii="Times New Roman" w:hAnsi="Times New Roman"/>
          <w:sz w:val="20"/>
          <w:szCs w:val="20"/>
        </w:rPr>
        <w:t xml:space="preserve"> resource in time domain</w:t>
      </w:r>
      <w:r>
        <w:rPr>
          <w:rFonts w:ascii="Times New Roman" w:hAnsi="Times New Roman" w:hint="eastAsia"/>
          <w:sz w:val="20"/>
          <w:szCs w:val="20"/>
        </w:rPr>
        <w:t xml:space="preserve">. </w:t>
      </w:r>
    </w:p>
    <w:p w:rsidR="005F5B2F" w:rsidRDefault="00AA4AC4">
      <w:pPr>
        <w:jc w:val="both"/>
        <w:rPr>
          <w:rFonts w:ascii="Times New Roman" w:hAnsi="Times New Roman"/>
          <w:sz w:val="20"/>
          <w:szCs w:val="20"/>
        </w:rPr>
      </w:pPr>
      <w:r>
        <w:rPr>
          <w:rFonts w:ascii="Times New Roman" w:hAnsi="Times New Roman" w:hint="eastAsia"/>
          <w:sz w:val="20"/>
          <w:szCs w:val="20"/>
        </w:rPr>
        <w:lastRenderedPageBreak/>
        <w:t xml:space="preserve">Base on the above analysis, we propose the following 15 configurations which is shown in Figure 1. </w:t>
      </w:r>
    </w:p>
    <w:p w:rsidR="005F5B2F" w:rsidRDefault="00AA4AC4">
      <w:pPr>
        <w:spacing w:beforeLines="50" w:before="120" w:afterLines="50" w:after="120"/>
        <w:jc w:val="center"/>
      </w:pPr>
      <w:r>
        <w:rPr>
          <w:noProof/>
        </w:rPr>
        <w:drawing>
          <wp:inline distT="0" distB="0" distL="114300" distR="114300">
            <wp:extent cx="1524000" cy="323850"/>
            <wp:effectExtent l="0" t="0" r="0" b="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7"/>
                    <a:stretch>
                      <a:fillRect/>
                    </a:stretch>
                  </pic:blipFill>
                  <pic:spPr>
                    <a:xfrm>
                      <a:off x="0" y="0"/>
                      <a:ext cx="1524000" cy="323850"/>
                    </a:xfrm>
                    <a:prstGeom prst="rect">
                      <a:avLst/>
                    </a:prstGeom>
                    <a:noFill/>
                    <a:ln>
                      <a:noFill/>
                    </a:ln>
                  </pic:spPr>
                </pic:pic>
              </a:graphicData>
            </a:graphic>
          </wp:inline>
        </w:drawing>
      </w:r>
    </w:p>
    <w:p w:rsidR="005F5B2F" w:rsidRDefault="00AA4AC4">
      <w:pPr>
        <w:spacing w:beforeLines="50" w:before="120" w:afterLines="50" w:after="120"/>
        <w:jc w:val="center"/>
      </w:pPr>
      <w:r>
        <w:rPr>
          <w:noProof/>
        </w:rPr>
        <w:drawing>
          <wp:inline distT="0" distB="0" distL="114300" distR="114300">
            <wp:extent cx="3018790" cy="333375"/>
            <wp:effectExtent l="0" t="0" r="10160" b="9525"/>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8"/>
                    <a:stretch>
                      <a:fillRect/>
                    </a:stretch>
                  </pic:blipFill>
                  <pic:spPr>
                    <a:xfrm>
                      <a:off x="0" y="0"/>
                      <a:ext cx="3018790" cy="333375"/>
                    </a:xfrm>
                    <a:prstGeom prst="rect">
                      <a:avLst/>
                    </a:prstGeom>
                    <a:noFill/>
                    <a:ln>
                      <a:noFill/>
                    </a:ln>
                  </pic:spPr>
                </pic:pic>
              </a:graphicData>
            </a:graphic>
          </wp:inline>
        </w:drawing>
      </w:r>
    </w:p>
    <w:p w:rsidR="005F5B2F" w:rsidRDefault="00AA4AC4">
      <w:pPr>
        <w:spacing w:beforeLines="50" w:before="120" w:afterLines="50" w:after="120"/>
        <w:jc w:val="center"/>
      </w:pPr>
      <w:r>
        <w:rPr>
          <w:noProof/>
        </w:rPr>
        <w:drawing>
          <wp:inline distT="0" distB="0" distL="114300" distR="114300">
            <wp:extent cx="1524000" cy="637540"/>
            <wp:effectExtent l="0" t="0" r="0" b="10160"/>
            <wp:docPr id="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
                    <pic:cNvPicPr>
                      <a:picLocks noChangeAspect="1"/>
                    </pic:cNvPicPr>
                  </pic:nvPicPr>
                  <pic:blipFill>
                    <a:blip r:embed="rId9"/>
                    <a:stretch>
                      <a:fillRect/>
                    </a:stretch>
                  </pic:blipFill>
                  <pic:spPr>
                    <a:xfrm>
                      <a:off x="0" y="0"/>
                      <a:ext cx="1524000" cy="637540"/>
                    </a:xfrm>
                    <a:prstGeom prst="rect">
                      <a:avLst/>
                    </a:prstGeom>
                    <a:noFill/>
                    <a:ln>
                      <a:noFill/>
                    </a:ln>
                  </pic:spPr>
                </pic:pic>
              </a:graphicData>
            </a:graphic>
          </wp:inline>
        </w:drawing>
      </w:r>
    </w:p>
    <w:p w:rsidR="005F5B2F" w:rsidRDefault="00AA4AC4">
      <w:pPr>
        <w:spacing w:beforeLines="50" w:before="120" w:afterLines="50" w:after="120"/>
        <w:jc w:val="center"/>
      </w:pPr>
      <w:r>
        <w:rPr>
          <w:noProof/>
        </w:rPr>
        <w:drawing>
          <wp:inline distT="0" distB="0" distL="114300" distR="114300">
            <wp:extent cx="1524000" cy="637540"/>
            <wp:effectExtent l="0" t="0" r="0" b="10160"/>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0"/>
                    <pic:cNvPicPr>
                      <a:picLocks noChangeAspect="1"/>
                    </pic:cNvPicPr>
                  </pic:nvPicPr>
                  <pic:blipFill>
                    <a:blip r:embed="rId10"/>
                    <a:stretch>
                      <a:fillRect/>
                    </a:stretch>
                  </pic:blipFill>
                  <pic:spPr>
                    <a:xfrm>
                      <a:off x="0" y="0"/>
                      <a:ext cx="1524000" cy="637540"/>
                    </a:xfrm>
                    <a:prstGeom prst="rect">
                      <a:avLst/>
                    </a:prstGeom>
                    <a:noFill/>
                    <a:ln>
                      <a:noFill/>
                    </a:ln>
                  </pic:spPr>
                </pic:pic>
              </a:graphicData>
            </a:graphic>
          </wp:inline>
        </w:drawing>
      </w:r>
    </w:p>
    <w:p w:rsidR="005F5B2F" w:rsidRDefault="00AA4AC4">
      <w:pPr>
        <w:numPr>
          <w:ilvl w:val="0"/>
          <w:numId w:val="4"/>
        </w:numPr>
        <w:spacing w:beforeLines="50" w:before="120" w:afterLines="50" w:after="120"/>
        <w:jc w:val="center"/>
        <w:rPr>
          <w:rFonts w:ascii="Times New Roman" w:hAnsi="Times New Roman"/>
          <w:sz w:val="20"/>
          <w:szCs w:val="20"/>
        </w:rPr>
      </w:pPr>
      <w:r>
        <w:rPr>
          <w:rFonts w:ascii="Times New Roman" w:hAnsi="Times New Roman" w:hint="eastAsia"/>
          <w:sz w:val="20"/>
          <w:szCs w:val="20"/>
        </w:rPr>
        <w:t>o</w:t>
      </w:r>
      <w:r>
        <w:rPr>
          <w:rFonts w:ascii="Times New Roman" w:hAnsi="Times New Roman"/>
          <w:sz w:val="20"/>
          <w:szCs w:val="20"/>
        </w:rPr>
        <w:t>ne UE-group MWUS resource</w:t>
      </w:r>
    </w:p>
    <w:p w:rsidR="005F5B2F" w:rsidRDefault="00AA4AC4">
      <w:pPr>
        <w:numPr>
          <w:ilvl w:val="255"/>
          <w:numId w:val="0"/>
        </w:numPr>
        <w:spacing w:beforeLines="50" w:before="120" w:afterLines="50" w:after="120"/>
        <w:jc w:val="center"/>
      </w:pPr>
      <w:r>
        <w:rPr>
          <w:noProof/>
        </w:rPr>
        <w:drawing>
          <wp:inline distT="0" distB="0" distL="114300" distR="114300">
            <wp:extent cx="3018790" cy="323850"/>
            <wp:effectExtent l="0" t="0" r="10160" b="0"/>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11"/>
                    <a:stretch>
                      <a:fillRect/>
                    </a:stretch>
                  </pic:blipFill>
                  <pic:spPr>
                    <a:xfrm>
                      <a:off x="0" y="0"/>
                      <a:ext cx="3018790" cy="323850"/>
                    </a:xfrm>
                    <a:prstGeom prst="rect">
                      <a:avLst/>
                    </a:prstGeom>
                    <a:noFill/>
                    <a:ln>
                      <a:noFill/>
                    </a:ln>
                  </pic:spPr>
                </pic:pic>
              </a:graphicData>
            </a:graphic>
          </wp:inline>
        </w:drawing>
      </w:r>
    </w:p>
    <w:p w:rsidR="005F5B2F" w:rsidRDefault="00AA4AC4">
      <w:pPr>
        <w:numPr>
          <w:ilvl w:val="255"/>
          <w:numId w:val="0"/>
        </w:numPr>
        <w:spacing w:beforeLines="50" w:before="120" w:afterLines="50" w:after="120"/>
        <w:jc w:val="center"/>
      </w:pPr>
      <w:r>
        <w:rPr>
          <w:noProof/>
        </w:rPr>
        <w:drawing>
          <wp:inline distT="0" distB="0" distL="114300" distR="114300">
            <wp:extent cx="1524000" cy="628015"/>
            <wp:effectExtent l="0" t="0" r="0" b="635"/>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
                    <pic:cNvPicPr>
                      <a:picLocks noChangeAspect="1"/>
                    </pic:cNvPicPr>
                  </pic:nvPicPr>
                  <pic:blipFill>
                    <a:blip r:embed="rId12"/>
                    <a:stretch>
                      <a:fillRect/>
                    </a:stretch>
                  </pic:blipFill>
                  <pic:spPr>
                    <a:xfrm>
                      <a:off x="0" y="0"/>
                      <a:ext cx="1524000" cy="628015"/>
                    </a:xfrm>
                    <a:prstGeom prst="rect">
                      <a:avLst/>
                    </a:prstGeom>
                    <a:noFill/>
                    <a:ln>
                      <a:noFill/>
                    </a:ln>
                  </pic:spPr>
                </pic:pic>
              </a:graphicData>
            </a:graphic>
          </wp:inline>
        </w:drawing>
      </w:r>
    </w:p>
    <w:p w:rsidR="005F5B2F" w:rsidRDefault="00AA4AC4">
      <w:pPr>
        <w:numPr>
          <w:ilvl w:val="255"/>
          <w:numId w:val="0"/>
        </w:numPr>
        <w:spacing w:beforeLines="50" w:before="120" w:afterLines="50" w:after="120"/>
        <w:jc w:val="center"/>
      </w:pPr>
      <w:r>
        <w:rPr>
          <w:noProof/>
        </w:rPr>
        <w:drawing>
          <wp:inline distT="0" distB="0" distL="114300" distR="114300">
            <wp:extent cx="1524000" cy="628015"/>
            <wp:effectExtent l="0" t="0" r="0" b="635"/>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13"/>
                    <a:stretch>
                      <a:fillRect/>
                    </a:stretch>
                  </pic:blipFill>
                  <pic:spPr>
                    <a:xfrm>
                      <a:off x="0" y="0"/>
                      <a:ext cx="1524000" cy="628015"/>
                    </a:xfrm>
                    <a:prstGeom prst="rect">
                      <a:avLst/>
                    </a:prstGeom>
                    <a:noFill/>
                    <a:ln>
                      <a:noFill/>
                    </a:ln>
                  </pic:spPr>
                </pic:pic>
              </a:graphicData>
            </a:graphic>
          </wp:inline>
        </w:drawing>
      </w:r>
    </w:p>
    <w:p w:rsidR="005F5B2F" w:rsidRDefault="00AA4AC4">
      <w:pPr>
        <w:numPr>
          <w:ilvl w:val="0"/>
          <w:numId w:val="4"/>
        </w:numPr>
        <w:spacing w:beforeLines="50" w:before="120" w:afterLines="50" w:after="120"/>
        <w:jc w:val="center"/>
        <w:rPr>
          <w:rFonts w:ascii="Times New Roman" w:hAnsi="Times New Roman"/>
          <w:sz w:val="20"/>
          <w:szCs w:val="20"/>
        </w:rPr>
      </w:pPr>
      <w:r>
        <w:rPr>
          <w:rFonts w:ascii="Times New Roman" w:hAnsi="Times New Roman" w:hint="eastAsia"/>
          <w:sz w:val="20"/>
          <w:szCs w:val="20"/>
        </w:rPr>
        <w:t>two</w:t>
      </w:r>
      <w:r>
        <w:rPr>
          <w:rFonts w:ascii="Times New Roman" w:hAnsi="Times New Roman"/>
          <w:sz w:val="20"/>
          <w:szCs w:val="20"/>
        </w:rPr>
        <w:t xml:space="preserve"> UE-group MWUS resource</w:t>
      </w:r>
      <w:r>
        <w:rPr>
          <w:rFonts w:ascii="Times New Roman" w:hAnsi="Times New Roman" w:hint="eastAsia"/>
          <w:sz w:val="20"/>
          <w:szCs w:val="20"/>
        </w:rPr>
        <w:t>s</w:t>
      </w:r>
    </w:p>
    <w:p w:rsidR="005F5B2F" w:rsidRDefault="00AA4AC4">
      <w:pPr>
        <w:numPr>
          <w:ilvl w:val="255"/>
          <w:numId w:val="0"/>
        </w:numPr>
        <w:spacing w:beforeLines="50" w:before="120" w:afterLines="50" w:after="120"/>
        <w:jc w:val="center"/>
      </w:pPr>
      <w:r>
        <w:rPr>
          <w:noProof/>
        </w:rPr>
        <w:drawing>
          <wp:inline distT="0" distB="0" distL="114300" distR="114300">
            <wp:extent cx="3018790" cy="628015"/>
            <wp:effectExtent l="0" t="0" r="10160" b="635"/>
            <wp:docPr id="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pic:cNvPicPr>
                      <a:picLocks noChangeAspect="1"/>
                    </pic:cNvPicPr>
                  </pic:nvPicPr>
                  <pic:blipFill>
                    <a:blip r:embed="rId14"/>
                    <a:stretch>
                      <a:fillRect/>
                    </a:stretch>
                  </pic:blipFill>
                  <pic:spPr>
                    <a:xfrm>
                      <a:off x="0" y="0"/>
                      <a:ext cx="3018790" cy="628015"/>
                    </a:xfrm>
                    <a:prstGeom prst="rect">
                      <a:avLst/>
                    </a:prstGeom>
                    <a:noFill/>
                    <a:ln>
                      <a:noFill/>
                    </a:ln>
                  </pic:spPr>
                </pic:pic>
              </a:graphicData>
            </a:graphic>
          </wp:inline>
        </w:drawing>
      </w:r>
    </w:p>
    <w:p w:rsidR="005F5B2F" w:rsidRDefault="00AA4AC4">
      <w:pPr>
        <w:numPr>
          <w:ilvl w:val="255"/>
          <w:numId w:val="0"/>
        </w:numPr>
        <w:spacing w:beforeLines="50" w:before="120" w:afterLines="50" w:after="120"/>
        <w:jc w:val="center"/>
      </w:pPr>
      <w:r>
        <w:rPr>
          <w:noProof/>
        </w:rPr>
        <w:drawing>
          <wp:inline distT="0" distB="0" distL="114300" distR="114300">
            <wp:extent cx="3018790" cy="628015"/>
            <wp:effectExtent l="0" t="0" r="10160" b="635"/>
            <wp:docPr id="1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2"/>
                    <pic:cNvPicPr>
                      <a:picLocks noChangeAspect="1"/>
                    </pic:cNvPicPr>
                  </pic:nvPicPr>
                  <pic:blipFill>
                    <a:blip r:embed="rId15"/>
                    <a:stretch>
                      <a:fillRect/>
                    </a:stretch>
                  </pic:blipFill>
                  <pic:spPr>
                    <a:xfrm>
                      <a:off x="0" y="0"/>
                      <a:ext cx="3018790" cy="628015"/>
                    </a:xfrm>
                    <a:prstGeom prst="rect">
                      <a:avLst/>
                    </a:prstGeom>
                    <a:noFill/>
                    <a:ln>
                      <a:noFill/>
                    </a:ln>
                  </pic:spPr>
                </pic:pic>
              </a:graphicData>
            </a:graphic>
          </wp:inline>
        </w:drawing>
      </w:r>
    </w:p>
    <w:p w:rsidR="005F5B2F" w:rsidRDefault="00AA4AC4">
      <w:pPr>
        <w:numPr>
          <w:ilvl w:val="255"/>
          <w:numId w:val="0"/>
        </w:numPr>
        <w:spacing w:beforeLines="50" w:before="120" w:afterLines="50" w:after="120"/>
        <w:jc w:val="center"/>
      </w:pPr>
      <w:r>
        <w:rPr>
          <w:noProof/>
        </w:rPr>
        <w:drawing>
          <wp:inline distT="0" distB="0" distL="114300" distR="114300">
            <wp:extent cx="3018790" cy="628015"/>
            <wp:effectExtent l="0" t="0" r="10160" b="635"/>
            <wp:docPr id="1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3"/>
                    <pic:cNvPicPr>
                      <a:picLocks noChangeAspect="1"/>
                    </pic:cNvPicPr>
                  </pic:nvPicPr>
                  <pic:blipFill>
                    <a:blip r:embed="rId16"/>
                    <a:stretch>
                      <a:fillRect/>
                    </a:stretch>
                  </pic:blipFill>
                  <pic:spPr>
                    <a:xfrm>
                      <a:off x="0" y="0"/>
                      <a:ext cx="3018790" cy="628015"/>
                    </a:xfrm>
                    <a:prstGeom prst="rect">
                      <a:avLst/>
                    </a:prstGeom>
                    <a:noFill/>
                    <a:ln>
                      <a:noFill/>
                    </a:ln>
                  </pic:spPr>
                </pic:pic>
              </a:graphicData>
            </a:graphic>
          </wp:inline>
        </w:drawing>
      </w:r>
    </w:p>
    <w:p w:rsidR="005F5B2F" w:rsidRDefault="00AA4AC4">
      <w:pPr>
        <w:numPr>
          <w:ilvl w:val="255"/>
          <w:numId w:val="0"/>
        </w:numPr>
        <w:spacing w:beforeLines="50" w:before="120" w:afterLines="50" w:after="120"/>
        <w:jc w:val="center"/>
      </w:pPr>
      <w:r>
        <w:rPr>
          <w:noProof/>
        </w:rPr>
        <w:drawing>
          <wp:inline distT="0" distB="0" distL="114300" distR="114300">
            <wp:extent cx="3018790" cy="628015"/>
            <wp:effectExtent l="0" t="0" r="10160" b="635"/>
            <wp:docPr id="1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4"/>
                    <pic:cNvPicPr>
                      <a:picLocks noChangeAspect="1"/>
                    </pic:cNvPicPr>
                  </pic:nvPicPr>
                  <pic:blipFill>
                    <a:blip r:embed="rId17"/>
                    <a:stretch>
                      <a:fillRect/>
                    </a:stretch>
                  </pic:blipFill>
                  <pic:spPr>
                    <a:xfrm>
                      <a:off x="0" y="0"/>
                      <a:ext cx="3018790" cy="628015"/>
                    </a:xfrm>
                    <a:prstGeom prst="rect">
                      <a:avLst/>
                    </a:prstGeom>
                    <a:noFill/>
                    <a:ln>
                      <a:noFill/>
                    </a:ln>
                  </pic:spPr>
                </pic:pic>
              </a:graphicData>
            </a:graphic>
          </wp:inline>
        </w:drawing>
      </w:r>
    </w:p>
    <w:p w:rsidR="005F5B2F" w:rsidRDefault="00AA4AC4">
      <w:pPr>
        <w:numPr>
          <w:ilvl w:val="255"/>
          <w:numId w:val="0"/>
        </w:numPr>
        <w:spacing w:beforeLines="50" w:before="120" w:afterLines="50" w:after="120"/>
        <w:jc w:val="center"/>
      </w:pPr>
      <w:r>
        <w:rPr>
          <w:noProof/>
        </w:rPr>
        <w:lastRenderedPageBreak/>
        <w:drawing>
          <wp:inline distT="0" distB="0" distL="114300" distR="114300">
            <wp:extent cx="3018790" cy="628015"/>
            <wp:effectExtent l="0" t="0" r="10160" b="635"/>
            <wp:docPr id="1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5"/>
                    <pic:cNvPicPr>
                      <a:picLocks noChangeAspect="1"/>
                    </pic:cNvPicPr>
                  </pic:nvPicPr>
                  <pic:blipFill>
                    <a:blip r:embed="rId18"/>
                    <a:stretch>
                      <a:fillRect/>
                    </a:stretch>
                  </pic:blipFill>
                  <pic:spPr>
                    <a:xfrm>
                      <a:off x="0" y="0"/>
                      <a:ext cx="3018790" cy="628015"/>
                    </a:xfrm>
                    <a:prstGeom prst="rect">
                      <a:avLst/>
                    </a:prstGeom>
                    <a:noFill/>
                    <a:ln>
                      <a:noFill/>
                    </a:ln>
                  </pic:spPr>
                </pic:pic>
              </a:graphicData>
            </a:graphic>
          </wp:inline>
        </w:drawing>
      </w:r>
    </w:p>
    <w:p w:rsidR="005F5B2F" w:rsidRDefault="00AA4AC4">
      <w:pPr>
        <w:numPr>
          <w:ilvl w:val="255"/>
          <w:numId w:val="0"/>
        </w:numPr>
        <w:spacing w:beforeLines="50" w:before="120" w:afterLines="50" w:after="120"/>
        <w:jc w:val="center"/>
      </w:pPr>
      <w:r>
        <w:rPr>
          <w:noProof/>
        </w:rPr>
        <w:drawing>
          <wp:inline distT="0" distB="0" distL="114300" distR="114300">
            <wp:extent cx="3018790" cy="628015"/>
            <wp:effectExtent l="0" t="0" r="10160" b="635"/>
            <wp:docPr id="1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6"/>
                    <pic:cNvPicPr>
                      <a:picLocks noChangeAspect="1"/>
                    </pic:cNvPicPr>
                  </pic:nvPicPr>
                  <pic:blipFill>
                    <a:blip r:embed="rId19"/>
                    <a:stretch>
                      <a:fillRect/>
                    </a:stretch>
                  </pic:blipFill>
                  <pic:spPr>
                    <a:xfrm>
                      <a:off x="0" y="0"/>
                      <a:ext cx="3018790" cy="628015"/>
                    </a:xfrm>
                    <a:prstGeom prst="rect">
                      <a:avLst/>
                    </a:prstGeom>
                    <a:noFill/>
                    <a:ln>
                      <a:noFill/>
                    </a:ln>
                  </pic:spPr>
                </pic:pic>
              </a:graphicData>
            </a:graphic>
          </wp:inline>
        </w:drawing>
      </w:r>
    </w:p>
    <w:p w:rsidR="005F5B2F" w:rsidRDefault="00AA4AC4">
      <w:pPr>
        <w:numPr>
          <w:ilvl w:val="0"/>
          <w:numId w:val="4"/>
        </w:numPr>
        <w:spacing w:beforeLines="50" w:before="120" w:afterLines="50" w:after="120"/>
        <w:jc w:val="center"/>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hree UE-group MWUS resources</w:t>
      </w:r>
    </w:p>
    <w:p w:rsidR="005F5B2F" w:rsidRDefault="00AA4AC4">
      <w:pPr>
        <w:numPr>
          <w:ilvl w:val="255"/>
          <w:numId w:val="0"/>
        </w:numPr>
        <w:spacing w:beforeLines="50" w:before="120" w:afterLines="50" w:after="120"/>
        <w:jc w:val="center"/>
      </w:pPr>
      <w:r>
        <w:rPr>
          <w:noProof/>
        </w:rPr>
        <w:drawing>
          <wp:inline distT="0" distB="0" distL="114300" distR="114300">
            <wp:extent cx="3018790" cy="628015"/>
            <wp:effectExtent l="0" t="0" r="10160" b="635"/>
            <wp:docPr id="1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7"/>
                    <pic:cNvPicPr>
                      <a:picLocks noChangeAspect="1"/>
                    </pic:cNvPicPr>
                  </pic:nvPicPr>
                  <pic:blipFill>
                    <a:blip r:embed="rId20"/>
                    <a:stretch>
                      <a:fillRect/>
                    </a:stretch>
                  </pic:blipFill>
                  <pic:spPr>
                    <a:xfrm>
                      <a:off x="0" y="0"/>
                      <a:ext cx="3018790" cy="628015"/>
                    </a:xfrm>
                    <a:prstGeom prst="rect">
                      <a:avLst/>
                    </a:prstGeom>
                    <a:noFill/>
                    <a:ln>
                      <a:noFill/>
                    </a:ln>
                  </pic:spPr>
                </pic:pic>
              </a:graphicData>
            </a:graphic>
          </wp:inline>
        </w:drawing>
      </w:r>
    </w:p>
    <w:p w:rsidR="005F5B2F" w:rsidRDefault="00AA4AC4">
      <w:pPr>
        <w:numPr>
          <w:ilvl w:val="255"/>
          <w:numId w:val="0"/>
        </w:numPr>
        <w:spacing w:beforeLines="50" w:before="120" w:afterLines="50" w:after="120"/>
        <w:jc w:val="center"/>
      </w:pPr>
      <w:r>
        <w:rPr>
          <w:noProof/>
        </w:rPr>
        <w:drawing>
          <wp:inline distT="0" distB="0" distL="114300" distR="114300">
            <wp:extent cx="3018790" cy="628015"/>
            <wp:effectExtent l="0" t="0" r="10160" b="635"/>
            <wp:docPr id="28"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9"/>
                    <pic:cNvPicPr>
                      <a:picLocks noChangeAspect="1"/>
                    </pic:cNvPicPr>
                  </pic:nvPicPr>
                  <pic:blipFill>
                    <a:blip r:embed="rId21"/>
                    <a:stretch>
                      <a:fillRect/>
                    </a:stretch>
                  </pic:blipFill>
                  <pic:spPr>
                    <a:xfrm>
                      <a:off x="0" y="0"/>
                      <a:ext cx="3018790" cy="628015"/>
                    </a:xfrm>
                    <a:prstGeom prst="rect">
                      <a:avLst/>
                    </a:prstGeom>
                    <a:noFill/>
                    <a:ln>
                      <a:noFill/>
                    </a:ln>
                  </pic:spPr>
                </pic:pic>
              </a:graphicData>
            </a:graphic>
          </wp:inline>
        </w:drawing>
      </w:r>
    </w:p>
    <w:p w:rsidR="005F5B2F" w:rsidRDefault="00AA4AC4">
      <w:pPr>
        <w:numPr>
          <w:ilvl w:val="0"/>
          <w:numId w:val="4"/>
        </w:numPr>
        <w:spacing w:beforeLines="50" w:before="120" w:afterLines="50" w:after="120"/>
        <w:jc w:val="center"/>
        <w:rPr>
          <w:rFonts w:ascii="Times New Roman" w:hAnsi="Times New Roman"/>
          <w:sz w:val="20"/>
          <w:szCs w:val="20"/>
        </w:rPr>
      </w:pPr>
      <w:r>
        <w:rPr>
          <w:rFonts w:ascii="Times New Roman" w:hAnsi="Times New Roman" w:hint="eastAsia"/>
          <w:sz w:val="20"/>
          <w:szCs w:val="20"/>
        </w:rPr>
        <w:t>four UE-group MWUS resources</w:t>
      </w:r>
    </w:p>
    <w:p w:rsidR="005F5B2F" w:rsidRDefault="00AA4AC4">
      <w:pPr>
        <w:spacing w:beforeLines="50" w:before="120" w:afterLines="50" w:after="120"/>
        <w:jc w:val="center"/>
        <w:rPr>
          <w:rFonts w:ascii="Times New Roman" w:hAnsi="Times New Roman"/>
          <w:sz w:val="20"/>
          <w:szCs w:val="20"/>
        </w:rPr>
      </w:pPr>
      <w:r>
        <w:rPr>
          <w:rFonts w:ascii="Times New Roman" w:hAnsi="Times New Roman" w:hint="eastAsia"/>
          <w:sz w:val="20"/>
          <w:szCs w:val="20"/>
        </w:rPr>
        <w:t>Figure 1 supported UE-group MWUS resource configurations</w:t>
      </w:r>
    </w:p>
    <w:p w:rsidR="005F5B2F" w:rsidRDefault="00AA4AC4">
      <w:pPr>
        <w:spacing w:beforeLines="50" w:before="120" w:afterLines="50" w:after="120"/>
        <w:jc w:val="both"/>
        <w:rPr>
          <w:rFonts w:ascii="Times New Roman" w:hAnsi="Times New Roman"/>
          <w:b/>
          <w:bCs/>
          <w:i/>
          <w:iCs/>
          <w:sz w:val="20"/>
          <w:szCs w:val="20"/>
        </w:rPr>
      </w:pPr>
      <w:r>
        <w:rPr>
          <w:rFonts w:ascii="Times New Roman" w:hAnsi="Times New Roman" w:hint="eastAsia"/>
          <w:sz w:val="20"/>
          <w:szCs w:val="20"/>
        </w:rPr>
        <w:t xml:space="preserve"> </w:t>
      </w:r>
      <w:r>
        <w:rPr>
          <w:rFonts w:ascii="Times New Roman" w:hAnsi="Times New Roman"/>
          <w:b/>
          <w:bCs/>
          <w:i/>
          <w:iCs/>
          <w:sz w:val="20"/>
          <w:szCs w:val="20"/>
        </w:rPr>
        <w:t>Proposal 2</w:t>
      </w:r>
      <w:r>
        <w:rPr>
          <w:rFonts w:ascii="Times New Roman" w:hAnsi="Times New Roman" w:hint="eastAsia"/>
          <w:b/>
          <w:bCs/>
          <w:i/>
          <w:iCs/>
          <w:sz w:val="20"/>
          <w:szCs w:val="20"/>
        </w:rPr>
        <w:t>: 15</w:t>
      </w:r>
      <w:r>
        <w:rPr>
          <w:rFonts w:ascii="Times New Roman" w:hAnsi="Times New Roman"/>
          <w:b/>
          <w:bCs/>
          <w:i/>
          <w:iCs/>
          <w:sz w:val="20"/>
          <w:szCs w:val="20"/>
        </w:rPr>
        <w:t xml:space="preserve"> </w:t>
      </w:r>
      <w:r>
        <w:rPr>
          <w:rFonts w:ascii="Times New Roman" w:hAnsi="Times New Roman" w:hint="eastAsia"/>
          <w:b/>
          <w:bCs/>
          <w:i/>
          <w:iCs/>
          <w:sz w:val="20"/>
          <w:szCs w:val="20"/>
        </w:rPr>
        <w:t>UE-group MWUS resource</w:t>
      </w:r>
      <w:r>
        <w:rPr>
          <w:rFonts w:ascii="Times New Roman" w:hAnsi="Times New Roman"/>
          <w:b/>
          <w:bCs/>
          <w:i/>
          <w:iCs/>
          <w:sz w:val="20"/>
          <w:szCs w:val="20"/>
        </w:rPr>
        <w:t xml:space="preserve"> </w:t>
      </w:r>
      <w:r>
        <w:rPr>
          <w:rFonts w:ascii="Times New Roman" w:hAnsi="Times New Roman" w:hint="eastAsia"/>
          <w:b/>
          <w:bCs/>
          <w:i/>
          <w:iCs/>
          <w:sz w:val="20"/>
          <w:szCs w:val="20"/>
        </w:rPr>
        <w:t xml:space="preserve">configurations </w:t>
      </w:r>
      <w:r>
        <w:rPr>
          <w:rFonts w:ascii="Times New Roman" w:hAnsi="Times New Roman"/>
          <w:b/>
          <w:bCs/>
          <w:i/>
          <w:iCs/>
          <w:sz w:val="20"/>
          <w:szCs w:val="20"/>
        </w:rPr>
        <w:t xml:space="preserve">should be supported. </w:t>
      </w:r>
    </w:p>
    <w:p w:rsidR="005F5B2F" w:rsidRDefault="00AA4AC4">
      <w:pPr>
        <w:pStyle w:val="2"/>
        <w:spacing w:beforeLines="50" w:afterLines="50"/>
      </w:pPr>
      <w:r>
        <w:rPr>
          <w:rFonts w:hint="eastAsia"/>
        </w:rPr>
        <w:t>UE group weighting</w:t>
      </w:r>
    </w:p>
    <w:p w:rsidR="005F5B2F" w:rsidRDefault="00AA4AC4">
      <w:pPr>
        <w:numPr>
          <w:ilvl w:val="255"/>
          <w:numId w:val="0"/>
        </w:numPr>
        <w:spacing w:beforeLines="50" w:before="120" w:afterLines="50" w:after="120"/>
        <w:jc w:val="both"/>
        <w:rPr>
          <w:rFonts w:ascii="Times New Roman" w:hAnsi="Times New Roman"/>
          <w:sz w:val="20"/>
          <w:szCs w:val="20"/>
        </w:rPr>
      </w:pPr>
      <w:r>
        <w:rPr>
          <w:rFonts w:ascii="Times New Roman" w:hAnsi="Times New Roman" w:hint="eastAsia"/>
          <w:sz w:val="20"/>
          <w:szCs w:val="20"/>
        </w:rPr>
        <w:t xml:space="preserve">It has been proposed that UE group weighting is introduced because more false wake-up rate may be caused by legacy MWUS when there are more than one MWUS resource. </w:t>
      </w:r>
      <w:r w:rsidR="0044535D">
        <w:rPr>
          <w:rFonts w:ascii="Times New Roman" w:hAnsi="Times New Roman"/>
          <w:sz w:val="20"/>
          <w:szCs w:val="20"/>
        </w:rPr>
        <w:t xml:space="preserve">This was studied in the following simulations. </w:t>
      </w:r>
      <w:r>
        <w:rPr>
          <w:rFonts w:ascii="Times New Roman" w:hAnsi="Times New Roman" w:hint="eastAsia"/>
          <w:sz w:val="20"/>
          <w:szCs w:val="20"/>
        </w:rPr>
        <w:t xml:space="preserve">The false wake-up rate of Rel-16 UE is shown in Figure 2 wherein the total number of UE is 100, the number of Rel-16 UE depends on the ratio of legacy UE and total number of UE and there are two UE-group MWUS resources. </w:t>
      </w:r>
    </w:p>
    <w:p w:rsidR="005F5B2F" w:rsidRDefault="00AA4AC4">
      <w:pPr>
        <w:numPr>
          <w:ilvl w:val="255"/>
          <w:numId w:val="0"/>
        </w:numPr>
        <w:spacing w:beforeLines="50" w:before="120" w:beforeAutospacing="1" w:afterLines="50" w:after="120" w:afterAutospacing="1"/>
        <w:jc w:val="center"/>
        <w:rPr>
          <w:rFonts w:ascii="Times New Roman" w:hAnsi="Times New Roman"/>
          <w:b/>
          <w:bCs/>
          <w:i/>
          <w:iCs/>
          <w:sz w:val="20"/>
          <w:szCs w:val="20"/>
        </w:rPr>
      </w:pPr>
      <w:r>
        <w:rPr>
          <w:rFonts w:ascii="Times New Roman" w:hAnsi="Times New Roman"/>
          <w:b/>
          <w:bCs/>
          <w:i/>
          <w:iCs/>
          <w:noProof/>
          <w:sz w:val="20"/>
          <w:szCs w:val="20"/>
        </w:rPr>
        <w:drawing>
          <wp:inline distT="0" distB="0" distL="114300" distR="114300">
            <wp:extent cx="3544570" cy="2160270"/>
            <wp:effectExtent l="0" t="0" r="17780" b="11430"/>
            <wp:docPr id="20" name="图片 20" descr="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0617"/>
                    <pic:cNvPicPr>
                      <a:picLocks noChangeAspect="1"/>
                    </pic:cNvPicPr>
                  </pic:nvPicPr>
                  <pic:blipFill>
                    <a:blip r:embed="rId22"/>
                    <a:stretch>
                      <a:fillRect/>
                    </a:stretch>
                  </pic:blipFill>
                  <pic:spPr>
                    <a:xfrm>
                      <a:off x="0" y="0"/>
                      <a:ext cx="3544570" cy="2160270"/>
                    </a:xfrm>
                    <a:prstGeom prst="rect">
                      <a:avLst/>
                    </a:prstGeom>
                  </pic:spPr>
                </pic:pic>
              </a:graphicData>
            </a:graphic>
          </wp:inline>
        </w:drawing>
      </w:r>
    </w:p>
    <w:p w:rsidR="005F5B2F" w:rsidRDefault="00AA4AC4">
      <w:pPr>
        <w:numPr>
          <w:ilvl w:val="255"/>
          <w:numId w:val="0"/>
        </w:numPr>
        <w:spacing w:beforeLines="50" w:before="120" w:beforeAutospacing="1" w:afterLines="50" w:after="120" w:afterAutospacing="1"/>
        <w:jc w:val="center"/>
        <w:rPr>
          <w:rFonts w:ascii="Times New Roman" w:hAnsi="Times New Roman"/>
          <w:b/>
          <w:bCs/>
          <w:i/>
          <w:iCs/>
          <w:sz w:val="20"/>
          <w:szCs w:val="20"/>
        </w:rPr>
      </w:pPr>
      <w:r>
        <w:rPr>
          <w:rFonts w:ascii="Times New Roman" w:hAnsi="Times New Roman" w:hint="eastAsia"/>
          <w:sz w:val="20"/>
          <w:szCs w:val="20"/>
        </w:rPr>
        <w:t>(</w:t>
      </w:r>
      <w:proofErr w:type="gramStart"/>
      <w:r>
        <w:rPr>
          <w:rFonts w:ascii="Times New Roman" w:hAnsi="Times New Roman" w:hint="eastAsia"/>
          <w:sz w:val="20"/>
          <w:szCs w:val="20"/>
        </w:rPr>
        <w:t>a</w:t>
      </w:r>
      <w:proofErr w:type="gramEnd"/>
      <w:r>
        <w:rPr>
          <w:rFonts w:ascii="Times New Roman" w:hAnsi="Times New Roman" w:hint="eastAsia"/>
          <w:sz w:val="20"/>
          <w:szCs w:val="20"/>
        </w:rPr>
        <w:t>) legacy UE: 20%</w:t>
      </w:r>
    </w:p>
    <w:p w:rsidR="005F5B2F" w:rsidRDefault="00AA4AC4">
      <w:pPr>
        <w:numPr>
          <w:ilvl w:val="255"/>
          <w:numId w:val="0"/>
        </w:numPr>
        <w:spacing w:beforeLines="50" w:before="120" w:beforeAutospacing="1" w:afterLines="50" w:after="120" w:afterAutospacing="1"/>
        <w:jc w:val="center"/>
        <w:rPr>
          <w:rFonts w:ascii="Times New Roman" w:hAnsi="Times New Roman"/>
          <w:b/>
          <w:bCs/>
          <w:i/>
          <w:iCs/>
          <w:sz w:val="20"/>
          <w:szCs w:val="20"/>
        </w:rPr>
      </w:pPr>
      <w:r>
        <w:rPr>
          <w:rFonts w:ascii="Times New Roman" w:hAnsi="Times New Roman" w:hint="eastAsia"/>
          <w:b/>
          <w:bCs/>
          <w:i/>
          <w:iCs/>
          <w:noProof/>
          <w:sz w:val="20"/>
          <w:szCs w:val="20"/>
        </w:rPr>
        <w:lastRenderedPageBreak/>
        <w:drawing>
          <wp:inline distT="0" distB="0" distL="114300" distR="114300">
            <wp:extent cx="3544570" cy="2160270"/>
            <wp:effectExtent l="0" t="0" r="17780" b="11430"/>
            <wp:docPr id="24" name="图片 24" descr="06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06285"/>
                    <pic:cNvPicPr>
                      <a:picLocks noChangeAspect="1"/>
                    </pic:cNvPicPr>
                  </pic:nvPicPr>
                  <pic:blipFill>
                    <a:blip r:embed="rId23"/>
                    <a:stretch>
                      <a:fillRect/>
                    </a:stretch>
                  </pic:blipFill>
                  <pic:spPr>
                    <a:xfrm>
                      <a:off x="0" y="0"/>
                      <a:ext cx="3544570" cy="2160270"/>
                    </a:xfrm>
                    <a:prstGeom prst="rect">
                      <a:avLst/>
                    </a:prstGeom>
                  </pic:spPr>
                </pic:pic>
              </a:graphicData>
            </a:graphic>
          </wp:inline>
        </w:drawing>
      </w:r>
    </w:p>
    <w:p w:rsidR="005F5B2F" w:rsidRDefault="00AA4AC4">
      <w:pPr>
        <w:numPr>
          <w:ilvl w:val="255"/>
          <w:numId w:val="0"/>
        </w:numPr>
        <w:spacing w:beforeLines="50" w:before="120" w:beforeAutospacing="1" w:afterLines="50" w:after="120" w:afterAutospacing="1"/>
        <w:jc w:val="center"/>
        <w:rPr>
          <w:rFonts w:ascii="Times New Roman" w:hAnsi="Times New Roman"/>
          <w:sz w:val="20"/>
          <w:szCs w:val="20"/>
        </w:rPr>
      </w:pPr>
      <w:r>
        <w:rPr>
          <w:rFonts w:ascii="Times New Roman" w:hAnsi="Times New Roman" w:hint="eastAsia"/>
          <w:sz w:val="20"/>
          <w:szCs w:val="20"/>
        </w:rPr>
        <w:t xml:space="preserve">(b) </w:t>
      </w:r>
      <w:proofErr w:type="gramStart"/>
      <w:r>
        <w:rPr>
          <w:rFonts w:ascii="Times New Roman" w:hAnsi="Times New Roman" w:hint="eastAsia"/>
          <w:sz w:val="20"/>
          <w:szCs w:val="20"/>
        </w:rPr>
        <w:t>legacy</w:t>
      </w:r>
      <w:proofErr w:type="gramEnd"/>
      <w:r>
        <w:rPr>
          <w:rFonts w:ascii="Times New Roman" w:hAnsi="Times New Roman" w:hint="eastAsia"/>
          <w:sz w:val="20"/>
          <w:szCs w:val="20"/>
        </w:rPr>
        <w:t xml:space="preserve"> UE:35%</w:t>
      </w:r>
    </w:p>
    <w:p w:rsidR="005F5B2F" w:rsidRDefault="00AA4AC4">
      <w:pPr>
        <w:numPr>
          <w:ilvl w:val="255"/>
          <w:numId w:val="0"/>
        </w:numPr>
        <w:spacing w:beforeLines="50" w:before="120" w:beforeAutospacing="1" w:afterLines="50" w:after="120" w:afterAutospacing="1"/>
        <w:jc w:val="center"/>
        <w:rPr>
          <w:rFonts w:ascii="Times New Roman" w:hAnsi="Times New Roman"/>
          <w:b/>
          <w:bCs/>
          <w:i/>
          <w:iCs/>
          <w:sz w:val="20"/>
          <w:szCs w:val="20"/>
        </w:rPr>
      </w:pPr>
      <w:r>
        <w:rPr>
          <w:rFonts w:ascii="Times New Roman" w:hAnsi="Times New Roman"/>
          <w:b/>
          <w:bCs/>
          <w:i/>
          <w:iCs/>
          <w:noProof/>
          <w:sz w:val="20"/>
          <w:szCs w:val="20"/>
        </w:rPr>
        <w:drawing>
          <wp:inline distT="0" distB="0" distL="114300" distR="114300">
            <wp:extent cx="3544570" cy="2160270"/>
            <wp:effectExtent l="0" t="0" r="17780" b="11430"/>
            <wp:docPr id="23" name="图片 23" descr="06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06172"/>
                    <pic:cNvPicPr>
                      <a:picLocks noChangeAspect="1"/>
                    </pic:cNvPicPr>
                  </pic:nvPicPr>
                  <pic:blipFill>
                    <a:blip r:embed="rId24"/>
                    <a:stretch>
                      <a:fillRect/>
                    </a:stretch>
                  </pic:blipFill>
                  <pic:spPr>
                    <a:xfrm>
                      <a:off x="0" y="0"/>
                      <a:ext cx="3544570" cy="2160270"/>
                    </a:xfrm>
                    <a:prstGeom prst="rect">
                      <a:avLst/>
                    </a:prstGeom>
                  </pic:spPr>
                </pic:pic>
              </a:graphicData>
            </a:graphic>
          </wp:inline>
        </w:drawing>
      </w:r>
    </w:p>
    <w:p w:rsidR="005F5B2F" w:rsidRDefault="00AA4AC4">
      <w:pPr>
        <w:numPr>
          <w:ilvl w:val="255"/>
          <w:numId w:val="0"/>
        </w:numPr>
        <w:spacing w:beforeLines="50" w:before="120" w:beforeAutospacing="1" w:afterLines="50" w:after="120" w:afterAutospacing="1"/>
        <w:jc w:val="center"/>
        <w:rPr>
          <w:rFonts w:ascii="Times New Roman" w:hAnsi="Times New Roman"/>
          <w:sz w:val="20"/>
          <w:szCs w:val="20"/>
        </w:rPr>
      </w:pPr>
      <w:r>
        <w:rPr>
          <w:rFonts w:ascii="Times New Roman" w:hAnsi="Times New Roman" w:hint="eastAsia"/>
          <w:sz w:val="20"/>
          <w:szCs w:val="20"/>
        </w:rPr>
        <w:t xml:space="preserve">(c) </w:t>
      </w:r>
      <w:proofErr w:type="gramStart"/>
      <w:r>
        <w:rPr>
          <w:rFonts w:ascii="Times New Roman" w:hAnsi="Times New Roman" w:hint="eastAsia"/>
          <w:sz w:val="20"/>
          <w:szCs w:val="20"/>
        </w:rPr>
        <w:t>legacy</w:t>
      </w:r>
      <w:proofErr w:type="gramEnd"/>
      <w:r>
        <w:rPr>
          <w:rFonts w:ascii="Times New Roman" w:hAnsi="Times New Roman" w:hint="eastAsia"/>
          <w:sz w:val="20"/>
          <w:szCs w:val="20"/>
        </w:rPr>
        <w:t xml:space="preserve"> UE: 50%</w:t>
      </w:r>
    </w:p>
    <w:p w:rsidR="005F5B2F" w:rsidRDefault="00AA4AC4">
      <w:pPr>
        <w:numPr>
          <w:ilvl w:val="255"/>
          <w:numId w:val="0"/>
        </w:numPr>
        <w:spacing w:beforeLines="50" w:before="120" w:beforeAutospacing="1" w:afterLines="50" w:after="120" w:afterAutospacing="1"/>
        <w:jc w:val="center"/>
        <w:rPr>
          <w:rFonts w:ascii="Times New Roman" w:hAnsi="Times New Roman"/>
          <w:sz w:val="20"/>
          <w:szCs w:val="20"/>
        </w:rPr>
      </w:pPr>
      <w:r>
        <w:rPr>
          <w:rFonts w:ascii="Times New Roman" w:hAnsi="Times New Roman" w:hint="eastAsia"/>
          <w:sz w:val="20"/>
          <w:szCs w:val="20"/>
        </w:rPr>
        <w:t xml:space="preserve">Figure 2 </w:t>
      </w:r>
      <w:r w:rsidR="000F2958">
        <w:rPr>
          <w:rFonts w:ascii="Times New Roman" w:hAnsi="Times New Roman"/>
          <w:sz w:val="20"/>
          <w:szCs w:val="20"/>
        </w:rPr>
        <w:t>False</w:t>
      </w:r>
      <w:r>
        <w:rPr>
          <w:rFonts w:ascii="Times New Roman" w:hAnsi="Times New Roman" w:hint="eastAsia"/>
          <w:sz w:val="20"/>
          <w:szCs w:val="20"/>
        </w:rPr>
        <w:t xml:space="preserve"> wake-up rate of Rel-16 UE</w:t>
      </w:r>
    </w:p>
    <w:p w:rsidR="005F5B2F" w:rsidRDefault="00AA4AC4">
      <w:pPr>
        <w:numPr>
          <w:ilvl w:val="255"/>
          <w:numId w:val="0"/>
        </w:numPr>
        <w:spacing w:beforeLines="50" w:before="120" w:afterLines="50" w:after="120"/>
        <w:jc w:val="both"/>
        <w:rPr>
          <w:rFonts w:ascii="Times New Roman" w:hAnsi="Times New Roman"/>
          <w:sz w:val="20"/>
          <w:szCs w:val="20"/>
          <w:highlight w:val="cyan"/>
        </w:rPr>
      </w:pPr>
      <w:r>
        <w:rPr>
          <w:rFonts w:ascii="Times New Roman" w:hAnsi="Times New Roman" w:hint="eastAsia"/>
          <w:sz w:val="20"/>
          <w:szCs w:val="20"/>
        </w:rPr>
        <w:t xml:space="preserve">Based on the simulation result, we observe that: </w:t>
      </w:r>
    </w:p>
    <w:p w:rsidR="005F5B2F" w:rsidRDefault="00AA4AC4">
      <w:pPr>
        <w:numPr>
          <w:ilvl w:val="0"/>
          <w:numId w:val="5"/>
        </w:numPr>
        <w:spacing w:beforeLines="50" w:before="120" w:afterLines="50" w:after="120"/>
        <w:jc w:val="both"/>
        <w:rPr>
          <w:rFonts w:ascii="Times New Roman" w:hAnsi="Times New Roman"/>
          <w:sz w:val="20"/>
          <w:szCs w:val="20"/>
        </w:rPr>
      </w:pPr>
      <w:r>
        <w:rPr>
          <w:rFonts w:ascii="Times New Roman" w:hAnsi="Times New Roman" w:hint="eastAsia"/>
          <w:sz w:val="20"/>
          <w:szCs w:val="20"/>
        </w:rPr>
        <w:t>When the ratio of legacy UE is 20%, the false wake-up rate of Rel-16 UE with different group weighting is similar.</w:t>
      </w:r>
    </w:p>
    <w:p w:rsidR="005F5B2F" w:rsidRDefault="00AA4AC4">
      <w:pPr>
        <w:numPr>
          <w:ilvl w:val="0"/>
          <w:numId w:val="5"/>
        </w:numPr>
        <w:spacing w:beforeLines="50" w:before="120" w:afterLines="50" w:after="120"/>
        <w:jc w:val="both"/>
        <w:rPr>
          <w:rFonts w:ascii="Times New Roman" w:hAnsi="Times New Roman"/>
          <w:sz w:val="20"/>
          <w:szCs w:val="20"/>
        </w:rPr>
      </w:pPr>
      <w:r>
        <w:rPr>
          <w:rFonts w:ascii="Times New Roman" w:hAnsi="Times New Roman" w:hint="eastAsia"/>
          <w:sz w:val="20"/>
          <w:szCs w:val="20"/>
        </w:rPr>
        <w:t xml:space="preserve">When the ratio of legacy UE is 35%, the false wake-up rate of Rel-16 UE with UE group weighting is lower than without UE group weighting. But the false wake-up rate of Rel-16 UE with UE group weighting is </w:t>
      </w:r>
      <w:r w:rsidR="00DA0FD7">
        <w:rPr>
          <w:rFonts w:ascii="Times New Roman" w:hAnsi="Times New Roman"/>
          <w:sz w:val="20"/>
          <w:szCs w:val="20"/>
        </w:rPr>
        <w:t>similar</w:t>
      </w:r>
      <w:r>
        <w:rPr>
          <w:rFonts w:ascii="Times New Roman" w:hAnsi="Times New Roman" w:hint="eastAsia"/>
          <w:sz w:val="20"/>
          <w:szCs w:val="20"/>
        </w:rPr>
        <w:t xml:space="preserve"> with all Rel-16 UE on one MWUS resource.  </w:t>
      </w:r>
    </w:p>
    <w:p w:rsidR="005F5B2F" w:rsidRDefault="00AA4AC4">
      <w:pPr>
        <w:numPr>
          <w:ilvl w:val="0"/>
          <w:numId w:val="5"/>
        </w:numPr>
        <w:spacing w:beforeLines="50" w:before="120" w:afterLines="50" w:after="120"/>
        <w:jc w:val="both"/>
        <w:rPr>
          <w:rFonts w:ascii="Times New Roman" w:hAnsi="Times New Roman"/>
          <w:sz w:val="20"/>
          <w:szCs w:val="20"/>
        </w:rPr>
      </w:pPr>
      <w:r>
        <w:rPr>
          <w:rFonts w:ascii="Times New Roman" w:hAnsi="Times New Roman" w:hint="eastAsia"/>
          <w:sz w:val="20"/>
          <w:szCs w:val="20"/>
        </w:rPr>
        <w:t>When the ratio of legacy UE is 50%, the false wake-up rate of Rel-16 UE on one MWUS resource is the lowest.</w:t>
      </w:r>
    </w:p>
    <w:p w:rsidR="005F5B2F" w:rsidRDefault="00AA4AC4">
      <w:pPr>
        <w:numPr>
          <w:ilvl w:val="255"/>
          <w:numId w:val="0"/>
        </w:numPr>
        <w:spacing w:beforeLines="50" w:before="120" w:afterLines="50" w:after="120"/>
        <w:jc w:val="both"/>
        <w:rPr>
          <w:rFonts w:ascii="Times New Roman" w:hAnsi="Times New Roman"/>
          <w:sz w:val="20"/>
          <w:szCs w:val="20"/>
        </w:rPr>
      </w:pPr>
      <w:r>
        <w:rPr>
          <w:rFonts w:ascii="Times New Roman" w:hAnsi="Times New Roman" w:hint="eastAsia"/>
          <w:sz w:val="20"/>
          <w:szCs w:val="20"/>
        </w:rPr>
        <w:t>Therefore, we propose that UE group weighting is not supported.</w:t>
      </w:r>
    </w:p>
    <w:p w:rsidR="005F5B2F" w:rsidRDefault="00AA4AC4">
      <w:pPr>
        <w:numPr>
          <w:ilvl w:val="255"/>
          <w:numId w:val="0"/>
        </w:num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Proposal 3: UE group weighting is not supported.</w:t>
      </w:r>
    </w:p>
    <w:p w:rsidR="005F5B2F" w:rsidRDefault="00AA4AC4">
      <w:pPr>
        <w:pStyle w:val="2"/>
        <w:spacing w:beforeLines="50" w:afterLines="50"/>
      </w:pPr>
      <w:r>
        <w:rPr>
          <w:rFonts w:hint="eastAsia"/>
        </w:rPr>
        <w:t>UE group hopping</w:t>
      </w:r>
    </w:p>
    <w:p w:rsidR="005F5B2F" w:rsidRDefault="00AA4AC4">
      <w:pPr>
        <w:spacing w:beforeLines="50" w:before="120" w:afterLines="50" w:after="120"/>
        <w:jc w:val="both"/>
        <w:rPr>
          <w:rFonts w:ascii="Times New Roman" w:hAnsi="Times New Roman"/>
          <w:sz w:val="20"/>
          <w:szCs w:val="20"/>
        </w:rPr>
      </w:pPr>
      <w:r>
        <w:rPr>
          <w:rFonts w:ascii="Times New Roman" w:hAnsi="Times New Roman"/>
          <w:sz w:val="20"/>
          <w:szCs w:val="20"/>
        </w:rPr>
        <w:t>In RAN1#9</w:t>
      </w:r>
      <w:r>
        <w:rPr>
          <w:rFonts w:ascii="Times New Roman" w:hAnsi="Times New Roman" w:hint="eastAsia"/>
          <w:sz w:val="20"/>
          <w:szCs w:val="20"/>
        </w:rPr>
        <w:t>8</w:t>
      </w:r>
      <w:r>
        <w:rPr>
          <w:rFonts w:ascii="Times New Roman" w:hAnsi="Times New Roman"/>
          <w:sz w:val="20"/>
          <w:szCs w:val="20"/>
        </w:rPr>
        <w:t xml:space="preserve"> meeting, the following conclusion was made:</w:t>
      </w:r>
    </w:p>
    <w:p w:rsidR="005F5B2F" w:rsidRDefault="00AA4AC4">
      <w:pPr>
        <w:spacing w:beforeLines="50" w:before="120" w:afterLines="50" w:after="120"/>
        <w:rPr>
          <w:rFonts w:ascii="Times New Roman" w:hAnsi="Times New Roman"/>
          <w:sz w:val="20"/>
          <w:szCs w:val="20"/>
        </w:rPr>
      </w:pPr>
      <w:r>
        <w:rPr>
          <w:rFonts w:ascii="Times New Roman" w:hAnsi="Times New Roman"/>
          <w:sz w:val="20"/>
          <w:szCs w:val="20"/>
        </w:rPr>
        <w:lastRenderedPageBreak/>
        <w:t>The specification supports configurability to enable UE group to be changed among WUS resources.</w:t>
      </w:r>
    </w:p>
    <w:p w:rsidR="005F5B2F" w:rsidRDefault="00AA4AC4">
      <w:pPr>
        <w:numPr>
          <w:ilvl w:val="0"/>
          <w:numId w:val="3"/>
        </w:numPr>
        <w:spacing w:beforeLines="50" w:before="120" w:afterLines="50" w:after="120"/>
        <w:rPr>
          <w:rFonts w:ascii="Times New Roman" w:hAnsi="Times New Roman"/>
          <w:bCs/>
          <w:sz w:val="20"/>
          <w:szCs w:val="20"/>
        </w:rPr>
      </w:pPr>
      <w:r>
        <w:rPr>
          <w:rFonts w:ascii="Times New Roman" w:hAnsi="Times New Roman"/>
          <w:bCs/>
          <w:sz w:val="20"/>
          <w:szCs w:val="20"/>
        </w:rPr>
        <w:t>FFS: Details including implicit/</w:t>
      </w:r>
      <w:r w:rsidR="000F2958">
        <w:rPr>
          <w:rFonts w:ascii="Times New Roman" w:hAnsi="Times New Roman"/>
          <w:bCs/>
          <w:sz w:val="20"/>
          <w:szCs w:val="20"/>
        </w:rPr>
        <w:t>explicit</w:t>
      </w:r>
      <w:r>
        <w:rPr>
          <w:rFonts w:ascii="Times New Roman" w:hAnsi="Times New Roman"/>
          <w:bCs/>
          <w:sz w:val="20"/>
          <w:szCs w:val="20"/>
        </w:rPr>
        <w:t xml:space="preserve"> </w:t>
      </w:r>
      <w:r w:rsidR="000F2958">
        <w:rPr>
          <w:rFonts w:ascii="Times New Roman" w:hAnsi="Times New Roman"/>
          <w:bCs/>
          <w:sz w:val="20"/>
          <w:szCs w:val="20"/>
        </w:rPr>
        <w:t>signaling</w:t>
      </w:r>
    </w:p>
    <w:p w:rsidR="005F5B2F" w:rsidRDefault="00AA4AC4">
      <w:pPr>
        <w:spacing w:beforeLines="50" w:before="120" w:afterLines="50" w:after="120"/>
        <w:jc w:val="both"/>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f there are more than one </w:t>
      </w:r>
      <w:r>
        <w:rPr>
          <w:rFonts w:ascii="Times New Roman" w:hAnsi="Times New Roman" w:hint="eastAsia"/>
          <w:sz w:val="20"/>
          <w:szCs w:val="20"/>
        </w:rPr>
        <w:t>UE-group MWUS</w:t>
      </w:r>
      <w:r>
        <w:rPr>
          <w:rFonts w:ascii="Times New Roman" w:hAnsi="Times New Roman"/>
          <w:sz w:val="20"/>
          <w:szCs w:val="20"/>
        </w:rPr>
        <w:t xml:space="preserve"> resource, the power assumption of UEs who are always assigned to the first </w:t>
      </w:r>
      <w:r>
        <w:rPr>
          <w:rFonts w:ascii="Times New Roman" w:hAnsi="Times New Roman" w:hint="eastAsia"/>
          <w:sz w:val="20"/>
          <w:szCs w:val="20"/>
        </w:rPr>
        <w:t>UE-group MWUS</w:t>
      </w:r>
      <w:r>
        <w:rPr>
          <w:rFonts w:ascii="Times New Roman" w:hAnsi="Times New Roman"/>
          <w:sz w:val="20"/>
          <w:szCs w:val="20"/>
        </w:rPr>
        <w:t xml:space="preserve"> resource is higher because those UEs need to wake up earlier. If UEs are assigned to the </w:t>
      </w:r>
      <w:r>
        <w:rPr>
          <w:rFonts w:ascii="Times New Roman" w:hAnsi="Times New Roman" w:hint="eastAsia"/>
          <w:sz w:val="20"/>
          <w:szCs w:val="20"/>
        </w:rPr>
        <w:t>UE-group MWUS</w:t>
      </w:r>
      <w:r>
        <w:rPr>
          <w:rFonts w:ascii="Times New Roman" w:hAnsi="Times New Roman"/>
          <w:sz w:val="20"/>
          <w:szCs w:val="20"/>
        </w:rPr>
        <w:t xml:space="preserve"> resource which contains legacy MWUS, the false wake-up of those UEs is higher because legacy MWUS is used to wake up all Rel-15 UEs.</w:t>
      </w:r>
      <w:r>
        <w:rPr>
          <w:rFonts w:ascii="Times New Roman" w:hAnsi="Times New Roman" w:hint="eastAsia"/>
          <w:sz w:val="20"/>
          <w:szCs w:val="20"/>
        </w:rPr>
        <w:t xml:space="preserve"> </w:t>
      </w:r>
      <w:r>
        <w:rPr>
          <w:rFonts w:ascii="Times New Roman" w:hAnsi="Times New Roman"/>
          <w:sz w:val="20"/>
          <w:szCs w:val="20"/>
        </w:rPr>
        <w:t xml:space="preserve">The </w:t>
      </w:r>
      <w:r>
        <w:rPr>
          <w:rFonts w:ascii="Times New Roman" w:hAnsi="Times New Roman" w:hint="eastAsia"/>
          <w:sz w:val="20"/>
          <w:szCs w:val="20"/>
        </w:rPr>
        <w:t xml:space="preserve">above mentioned </w:t>
      </w:r>
      <w:r>
        <w:rPr>
          <w:rFonts w:ascii="Times New Roman" w:hAnsi="Times New Roman"/>
          <w:sz w:val="20"/>
          <w:szCs w:val="20"/>
        </w:rPr>
        <w:t xml:space="preserve">UE unfairness </w:t>
      </w:r>
      <w:r>
        <w:rPr>
          <w:rFonts w:ascii="Times New Roman" w:hAnsi="Times New Roman" w:hint="eastAsia"/>
          <w:sz w:val="20"/>
          <w:szCs w:val="20"/>
        </w:rPr>
        <w:t xml:space="preserve">issue </w:t>
      </w:r>
      <w:r>
        <w:rPr>
          <w:rFonts w:ascii="Times New Roman" w:hAnsi="Times New Roman"/>
          <w:sz w:val="20"/>
          <w:szCs w:val="20"/>
        </w:rPr>
        <w:t xml:space="preserve">can be solved by UE group hopping. </w:t>
      </w:r>
      <w:r>
        <w:rPr>
          <w:rFonts w:ascii="Times New Roman" w:hAnsi="Times New Roman" w:hint="eastAsia"/>
          <w:sz w:val="20"/>
          <w:szCs w:val="20"/>
        </w:rPr>
        <w:t xml:space="preserve">Considering there are one PO in a DRX cycle for one UE, the actual UE-group MWUS resource can be determined by the following formula: </w:t>
      </w:r>
      <w:r>
        <w:rPr>
          <w:rFonts w:ascii="Times New Roman" w:hAnsi="Times New Roman"/>
          <w:sz w:val="20"/>
          <w:szCs w:val="20"/>
        </w:rPr>
        <w:t xml:space="preserve">actual </w:t>
      </w:r>
      <w:r>
        <w:rPr>
          <w:rFonts w:ascii="Times New Roman" w:hAnsi="Times New Roman" w:hint="eastAsia"/>
          <w:sz w:val="20"/>
          <w:szCs w:val="20"/>
        </w:rPr>
        <w:t>UE-group MWUS</w:t>
      </w:r>
      <w:r>
        <w:rPr>
          <w:rFonts w:ascii="Times New Roman" w:hAnsi="Times New Roman"/>
          <w:sz w:val="20"/>
          <w:szCs w:val="20"/>
        </w:rPr>
        <w:t xml:space="preserve"> resource index= </w:t>
      </w:r>
      <w:proofErr w:type="gramStart"/>
      <w:r>
        <w:rPr>
          <w:rFonts w:ascii="Times New Roman" w:hAnsi="Times New Roman"/>
          <w:sz w:val="20"/>
          <w:szCs w:val="20"/>
        </w:rPr>
        <w:t>mod(</w:t>
      </w:r>
      <w:proofErr w:type="gramEnd"/>
      <w:r>
        <w:rPr>
          <w:rFonts w:ascii="Times New Roman" w:hAnsi="Times New Roman"/>
          <w:sz w:val="20"/>
          <w:szCs w:val="20"/>
        </w:rPr>
        <w:t xml:space="preserve">configured </w:t>
      </w:r>
      <w:r>
        <w:rPr>
          <w:rFonts w:ascii="Times New Roman" w:hAnsi="Times New Roman" w:hint="eastAsia"/>
          <w:sz w:val="20"/>
          <w:szCs w:val="20"/>
        </w:rPr>
        <w:t>UE-group MWUS</w:t>
      </w:r>
      <w:r>
        <w:rPr>
          <w:rFonts w:ascii="Times New Roman" w:hAnsi="Times New Roman"/>
          <w:sz w:val="20"/>
          <w:szCs w:val="20"/>
        </w:rPr>
        <w:t xml:space="preserve"> resource index +  (SFN+1024*H_SFN)/T</w:t>
      </w:r>
      <w:r>
        <w:rPr>
          <w:rFonts w:ascii="Times New Roman" w:hAnsi="Times New Roman" w:hint="eastAsia"/>
          <w:sz w:val="20"/>
          <w:szCs w:val="20"/>
        </w:rPr>
        <w:t xml:space="preserve"> </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number of</w:t>
      </w:r>
      <w:r>
        <w:rPr>
          <w:rFonts w:ascii="Times New Roman" w:hAnsi="Times New Roman" w:hint="eastAsia"/>
          <w:sz w:val="20"/>
          <w:szCs w:val="20"/>
        </w:rPr>
        <w:t xml:space="preserve"> configured</w:t>
      </w:r>
      <w:r>
        <w:rPr>
          <w:rFonts w:ascii="Times New Roman" w:hAnsi="Times New Roman"/>
          <w:sz w:val="20"/>
          <w:szCs w:val="20"/>
        </w:rPr>
        <w:t xml:space="preserve"> </w:t>
      </w:r>
      <w:r>
        <w:rPr>
          <w:rFonts w:ascii="Times New Roman" w:hAnsi="Times New Roman" w:hint="eastAsia"/>
          <w:sz w:val="20"/>
          <w:szCs w:val="20"/>
        </w:rPr>
        <w:t>UE-group MWUS</w:t>
      </w:r>
      <w:r>
        <w:rPr>
          <w:rFonts w:ascii="Times New Roman" w:hAnsi="Times New Roman"/>
          <w:sz w:val="20"/>
          <w:szCs w:val="20"/>
        </w:rPr>
        <w:t xml:space="preserve"> resource)</w:t>
      </w:r>
      <w:r>
        <w:rPr>
          <w:rFonts w:ascii="Times New Roman" w:hAnsi="Times New Roman" w:hint="eastAsia"/>
          <w:sz w:val="20"/>
          <w:szCs w:val="20"/>
        </w:rPr>
        <w:t>, wherein SFN/H_SFN is the frame</w:t>
      </w:r>
      <w:r>
        <w:rPr>
          <w:rFonts w:ascii="Times New Roman" w:hAnsi="Times New Roman"/>
          <w:sz w:val="20"/>
          <w:szCs w:val="20"/>
        </w:rPr>
        <w:t>/</w:t>
      </w:r>
      <w:proofErr w:type="spellStart"/>
      <w:r>
        <w:rPr>
          <w:rFonts w:ascii="Times New Roman" w:hAnsi="Times New Roman" w:hint="eastAsia"/>
          <w:sz w:val="20"/>
          <w:szCs w:val="20"/>
        </w:rPr>
        <w:t>h</w:t>
      </w:r>
      <w:r>
        <w:rPr>
          <w:rFonts w:ascii="Times New Roman" w:hAnsi="Times New Roman"/>
          <w:sz w:val="20"/>
          <w:szCs w:val="20"/>
        </w:rPr>
        <w:t>yperframe</w:t>
      </w:r>
      <w:proofErr w:type="spellEnd"/>
      <w:r>
        <w:rPr>
          <w:rFonts w:ascii="Times New Roman" w:hAnsi="Times New Roman" w:hint="eastAsia"/>
          <w:sz w:val="20"/>
          <w:szCs w:val="20"/>
        </w:rPr>
        <w:t xml:space="preserve"> index of corresponding PO and T </w:t>
      </w:r>
      <w:r>
        <w:rPr>
          <w:rFonts w:ascii="Times New Roman" w:hAnsi="Times New Roman"/>
          <w:sz w:val="20"/>
          <w:szCs w:val="20"/>
        </w:rPr>
        <w:t xml:space="preserve">is </w:t>
      </w:r>
      <w:r>
        <w:rPr>
          <w:rFonts w:ascii="Times New Roman" w:hAnsi="Times New Roman"/>
          <w:sz w:val="20"/>
          <w:szCs w:val="20"/>
          <w:lang w:eastAsia="ko-KR"/>
        </w:rPr>
        <w:t>DRX cycle of the UE</w:t>
      </w:r>
      <w:r>
        <w:rPr>
          <w:rFonts w:ascii="Times New Roman" w:hAnsi="Times New Roman" w:hint="eastAsia"/>
          <w:sz w:val="20"/>
          <w:szCs w:val="20"/>
        </w:rPr>
        <w:t>. One example of UE-group MWUS resource configuration is shown in Figure 3, if the value of actual MWUS resource index is 0, the MWUS resource is the right one. The MWUS resource is the left one if the value of actual MWUS resource index is 1.</w:t>
      </w:r>
    </w:p>
    <w:tbl>
      <w:tblPr>
        <w:tblW w:w="4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267"/>
      </w:tblGrid>
      <w:tr w:rsidR="005F5B2F">
        <w:trPr>
          <w:jc w:val="center"/>
        </w:trPr>
        <w:tc>
          <w:tcPr>
            <w:tcW w:w="2268" w:type="dxa"/>
          </w:tcPr>
          <w:p w:rsidR="005F5B2F" w:rsidRDefault="00AA4AC4">
            <w:pPr>
              <w:spacing w:beforeLines="50" w:before="120" w:afterLines="50" w:after="120"/>
              <w:jc w:val="center"/>
              <w:rPr>
                <w:rFonts w:ascii="Times New Roman" w:hAnsi="Times New Roman"/>
                <w:sz w:val="20"/>
                <w:szCs w:val="20"/>
              </w:rPr>
            </w:pPr>
            <w:r>
              <w:rPr>
                <w:rFonts w:ascii="Times New Roman" w:hAnsi="Times New Roman" w:hint="eastAsia"/>
                <w:sz w:val="20"/>
                <w:szCs w:val="20"/>
              </w:rPr>
              <w:t>MWUS 1</w:t>
            </w:r>
          </w:p>
        </w:tc>
        <w:tc>
          <w:tcPr>
            <w:tcW w:w="2267" w:type="dxa"/>
          </w:tcPr>
          <w:p w:rsidR="005F5B2F" w:rsidRDefault="00AA4AC4">
            <w:pPr>
              <w:spacing w:beforeLines="50" w:before="120" w:afterLines="50" w:after="120"/>
              <w:jc w:val="center"/>
              <w:rPr>
                <w:rFonts w:ascii="Times New Roman" w:hAnsi="Times New Roman"/>
                <w:sz w:val="20"/>
                <w:szCs w:val="20"/>
              </w:rPr>
            </w:pPr>
            <w:r>
              <w:rPr>
                <w:rFonts w:ascii="Times New Roman" w:hAnsi="Times New Roman" w:hint="eastAsia"/>
                <w:sz w:val="20"/>
                <w:szCs w:val="20"/>
              </w:rPr>
              <w:t>MWUS 0</w:t>
            </w:r>
          </w:p>
        </w:tc>
      </w:tr>
    </w:tbl>
    <w:p w:rsidR="005F5B2F" w:rsidRDefault="00AA4AC4">
      <w:pPr>
        <w:spacing w:beforeLines="50" w:before="120" w:afterLines="50" w:after="120"/>
        <w:jc w:val="center"/>
        <w:rPr>
          <w:rFonts w:ascii="Times New Roman" w:hAnsi="Times New Roman"/>
          <w:sz w:val="20"/>
          <w:szCs w:val="20"/>
        </w:rPr>
      </w:pPr>
      <w:r>
        <w:rPr>
          <w:rFonts w:ascii="Times New Roman" w:hAnsi="Times New Roman" w:hint="eastAsia"/>
          <w:sz w:val="20"/>
          <w:szCs w:val="20"/>
        </w:rPr>
        <w:t>Figure 3 an example of group NWUS resource configuration</w:t>
      </w:r>
    </w:p>
    <w:p w:rsidR="005F5B2F" w:rsidRDefault="00AA4AC4">
      <w:pPr>
        <w:numPr>
          <w:ilvl w:val="255"/>
          <w:numId w:val="0"/>
        </w:numPr>
        <w:spacing w:beforeLines="50" w:before="120" w:afterLines="50" w:after="120"/>
        <w:jc w:val="both"/>
        <w:rPr>
          <w:rFonts w:ascii="Times New Roman" w:hAnsi="Times New Roman"/>
          <w:b/>
          <w:bCs/>
          <w:i/>
          <w:iCs/>
          <w:sz w:val="20"/>
          <w:szCs w:val="20"/>
        </w:rPr>
      </w:pPr>
      <w:r>
        <w:rPr>
          <w:rFonts w:ascii="Times New Roman" w:hAnsi="Times New Roman"/>
          <w:b/>
          <w:bCs/>
          <w:i/>
          <w:iCs/>
          <w:sz w:val="20"/>
          <w:szCs w:val="20"/>
        </w:rPr>
        <w:t xml:space="preserve">Proposal 4: The actual UE-group MWUS resource is determined by the following formula: </w:t>
      </w:r>
    </w:p>
    <w:p w:rsidR="005F5B2F" w:rsidRDefault="00AA4AC4">
      <w:pPr>
        <w:numPr>
          <w:ilvl w:val="255"/>
          <w:numId w:val="0"/>
        </w:numPr>
        <w:spacing w:beforeLines="50" w:before="120" w:afterLines="50" w:after="120"/>
        <w:jc w:val="both"/>
        <w:rPr>
          <w:rFonts w:ascii="Times New Roman" w:hAnsi="Times New Roman"/>
          <w:b/>
          <w:bCs/>
          <w:i/>
          <w:iCs/>
          <w:sz w:val="20"/>
          <w:szCs w:val="20"/>
        </w:rPr>
      </w:pPr>
      <w:proofErr w:type="gramStart"/>
      <w:r>
        <w:rPr>
          <w:rFonts w:ascii="Times New Roman" w:hAnsi="Times New Roman"/>
          <w:b/>
          <w:bCs/>
          <w:i/>
          <w:iCs/>
          <w:sz w:val="20"/>
          <w:szCs w:val="20"/>
        </w:rPr>
        <w:t>actual</w:t>
      </w:r>
      <w:proofErr w:type="gramEnd"/>
      <w:r>
        <w:rPr>
          <w:rFonts w:ascii="Times New Roman" w:hAnsi="Times New Roman"/>
          <w:b/>
          <w:bCs/>
          <w:i/>
          <w:iCs/>
          <w:sz w:val="20"/>
          <w:szCs w:val="20"/>
        </w:rPr>
        <w:t xml:space="preserve"> UE-group MWUS resource index= mod(configured UE-group MWUS resource index + (SFN+1024*H_SFN)/T), number of configured UE-group MWUS resource). </w:t>
      </w:r>
    </w:p>
    <w:p w:rsidR="005F5B2F" w:rsidRDefault="00AA4AC4">
      <w:pPr>
        <w:numPr>
          <w:ilvl w:val="0"/>
          <w:numId w:val="6"/>
        </w:numPr>
        <w:spacing w:beforeLines="50" w:before="120" w:afterLines="50" w:after="120"/>
        <w:rPr>
          <w:b/>
          <w:bCs/>
          <w:i/>
          <w:iCs/>
          <w:sz w:val="20"/>
          <w:szCs w:val="20"/>
        </w:rPr>
      </w:pPr>
      <w:r>
        <w:rPr>
          <w:rFonts w:ascii="Times New Roman" w:hAnsi="Times New Roman" w:hint="eastAsia"/>
          <w:b/>
          <w:bCs/>
          <w:i/>
          <w:iCs/>
          <w:sz w:val="20"/>
          <w:szCs w:val="20"/>
        </w:rPr>
        <w:t xml:space="preserve"> SFN/H_SFN is the frame</w:t>
      </w:r>
      <w:r>
        <w:rPr>
          <w:rFonts w:ascii="Times New Roman" w:hAnsi="Times New Roman"/>
          <w:b/>
          <w:bCs/>
          <w:i/>
          <w:iCs/>
          <w:sz w:val="20"/>
          <w:szCs w:val="20"/>
        </w:rPr>
        <w:t>/</w:t>
      </w:r>
      <w:proofErr w:type="spellStart"/>
      <w:r>
        <w:rPr>
          <w:rFonts w:ascii="Times New Roman" w:hAnsi="Times New Roman" w:hint="eastAsia"/>
          <w:b/>
          <w:bCs/>
          <w:i/>
          <w:iCs/>
          <w:sz w:val="20"/>
          <w:szCs w:val="20"/>
        </w:rPr>
        <w:t>h</w:t>
      </w:r>
      <w:r>
        <w:rPr>
          <w:rFonts w:ascii="Times New Roman" w:hAnsi="Times New Roman"/>
          <w:b/>
          <w:bCs/>
          <w:i/>
          <w:iCs/>
          <w:sz w:val="20"/>
          <w:szCs w:val="20"/>
        </w:rPr>
        <w:t>yperframe</w:t>
      </w:r>
      <w:proofErr w:type="spellEnd"/>
      <w:r>
        <w:rPr>
          <w:rFonts w:ascii="Times New Roman" w:hAnsi="Times New Roman" w:hint="eastAsia"/>
          <w:b/>
          <w:bCs/>
          <w:i/>
          <w:iCs/>
          <w:sz w:val="20"/>
          <w:szCs w:val="20"/>
        </w:rPr>
        <w:t xml:space="preserve"> index of corresponding PO</w:t>
      </w:r>
    </w:p>
    <w:p w:rsidR="005F5B2F" w:rsidRDefault="00AA4AC4">
      <w:pPr>
        <w:numPr>
          <w:ilvl w:val="0"/>
          <w:numId w:val="6"/>
        </w:numPr>
        <w:spacing w:beforeLines="50" w:before="120" w:afterLines="50" w:after="120"/>
        <w:rPr>
          <w:b/>
          <w:bCs/>
          <w:i/>
          <w:iCs/>
          <w:sz w:val="20"/>
          <w:szCs w:val="20"/>
        </w:rPr>
      </w:pPr>
      <w:r>
        <w:rPr>
          <w:rFonts w:ascii="Times New Roman" w:hAnsi="Times New Roman" w:hint="eastAsia"/>
          <w:b/>
          <w:bCs/>
          <w:i/>
          <w:iCs/>
          <w:sz w:val="20"/>
          <w:szCs w:val="20"/>
        </w:rPr>
        <w:t xml:space="preserve"> T </w:t>
      </w:r>
      <w:r>
        <w:rPr>
          <w:rFonts w:ascii="Times New Roman" w:hAnsi="Times New Roman"/>
          <w:b/>
          <w:bCs/>
          <w:i/>
          <w:iCs/>
          <w:sz w:val="20"/>
          <w:szCs w:val="20"/>
        </w:rPr>
        <w:t xml:space="preserve">is </w:t>
      </w:r>
      <w:r>
        <w:rPr>
          <w:rFonts w:ascii="Times New Roman" w:hAnsi="Times New Roman"/>
          <w:b/>
          <w:bCs/>
          <w:i/>
          <w:iCs/>
          <w:sz w:val="20"/>
          <w:szCs w:val="20"/>
          <w:lang w:eastAsia="ko-KR"/>
        </w:rPr>
        <w:t>DRX cycle of the UE</w:t>
      </w:r>
    </w:p>
    <w:p w:rsidR="005F5B2F" w:rsidRDefault="005F5B2F">
      <w:pPr>
        <w:numPr>
          <w:ilvl w:val="255"/>
          <w:numId w:val="0"/>
        </w:numPr>
        <w:spacing w:beforeLines="50" w:before="120" w:afterLines="50" w:after="120"/>
        <w:jc w:val="both"/>
        <w:rPr>
          <w:rFonts w:ascii="Times New Roman" w:hAnsi="Times New Roman"/>
          <w:b/>
          <w:bCs/>
          <w:i/>
          <w:iCs/>
          <w:sz w:val="20"/>
          <w:szCs w:val="20"/>
        </w:rPr>
      </w:pPr>
    </w:p>
    <w:p w:rsidR="005F5B2F" w:rsidRDefault="00AA4AC4">
      <w:pPr>
        <w:pStyle w:val="2"/>
      </w:pPr>
      <w:r>
        <w:t>S</w:t>
      </w:r>
      <w:r>
        <w:rPr>
          <w:rFonts w:hint="eastAsia"/>
        </w:rPr>
        <w:t xml:space="preserve">equence </w:t>
      </w:r>
      <w:r>
        <w:t>design</w:t>
      </w:r>
    </w:p>
    <w:p w:rsidR="005F5B2F" w:rsidRDefault="00AA4AC4">
      <w:pPr>
        <w:spacing w:beforeLines="50" w:before="120" w:afterLines="50" w:after="120"/>
        <w:jc w:val="both"/>
        <w:rPr>
          <w:rFonts w:ascii="Times New Roman" w:hAnsi="Times New Roman"/>
          <w:sz w:val="20"/>
          <w:szCs w:val="20"/>
        </w:rPr>
      </w:pPr>
      <w:r>
        <w:rPr>
          <w:rFonts w:ascii="Times New Roman" w:hAnsi="Times New Roman"/>
          <w:sz w:val="20"/>
          <w:szCs w:val="20"/>
        </w:rPr>
        <w:t>In RAN1#98 meeting, the following working assumption was made:</w:t>
      </w:r>
    </w:p>
    <w:p w:rsidR="005F5B2F" w:rsidRDefault="00AA4AC4">
      <w:pPr>
        <w:spacing w:beforeLines="50" w:before="120" w:afterLines="50" w:after="120"/>
        <w:rPr>
          <w:rFonts w:ascii="Times New Roman" w:hAnsi="Times New Roman"/>
          <w:bCs/>
          <w:sz w:val="20"/>
          <w:szCs w:val="20"/>
        </w:rPr>
      </w:pPr>
      <w:r>
        <w:rPr>
          <w:rFonts w:ascii="Times New Roman" w:hAnsi="Times New Roman"/>
          <w:bCs/>
          <w:sz w:val="20"/>
          <w:szCs w:val="20"/>
        </w:rPr>
        <w:t>To differentiate WUS sequences in different WUS resources</w:t>
      </w:r>
      <w:r>
        <w:rPr>
          <w:rFonts w:ascii="Times New Roman" w:eastAsia="Times New Roman" w:hAnsi="Times New Roman"/>
          <w:bCs/>
          <w:sz w:val="20"/>
          <w:szCs w:val="20"/>
        </w:rPr>
        <w:t xml:space="preserve">, </w:t>
      </w:r>
      <w:r>
        <w:rPr>
          <w:rFonts w:ascii="Times New Roman" w:eastAsia="Malgun Gothic" w:hAnsi="Times New Roman"/>
          <w:bCs/>
          <w:sz w:val="20"/>
          <w:szCs w:val="20"/>
        </w:rPr>
        <w:t xml:space="preserve">2-bit MSB of scrambling initialization </w:t>
      </w:r>
      <w:proofErr w:type="spellStart"/>
      <w:r>
        <w:rPr>
          <w:rFonts w:ascii="Times New Roman" w:eastAsia="Malgun Gothic" w:hAnsi="Times New Roman"/>
          <w:bCs/>
          <w:sz w:val="20"/>
          <w:szCs w:val="20"/>
        </w:rPr>
        <w:t>c_init</w:t>
      </w:r>
      <w:proofErr w:type="spellEnd"/>
      <w:r>
        <w:rPr>
          <w:rFonts w:ascii="Times New Roman" w:eastAsia="Malgun Gothic" w:hAnsi="Times New Roman"/>
          <w:bCs/>
          <w:sz w:val="20"/>
          <w:szCs w:val="20"/>
        </w:rPr>
        <w:t xml:space="preserve"> is supported</w:t>
      </w:r>
      <w:r>
        <w:rPr>
          <w:rFonts w:ascii="Times New Roman" w:hAnsi="Times New Roman" w:hint="eastAsia"/>
          <w:bCs/>
          <w:sz w:val="20"/>
          <w:szCs w:val="20"/>
        </w:rPr>
        <w:t>：</w:t>
      </w:r>
    </w:p>
    <w:p w:rsidR="005F5B2F" w:rsidRDefault="00AA4AC4">
      <w:pPr>
        <w:spacing w:beforeLines="50" w:before="120" w:afterLines="50" w:after="120"/>
        <w:rPr>
          <w:rFonts w:ascii="Times New Roman" w:hAnsi="Times New Roman"/>
          <w:sz w:val="20"/>
          <w:szCs w:val="20"/>
        </w:rPr>
      </w:pPr>
      <w:r>
        <w:rPr>
          <w:rFonts w:ascii="Times New Roman" w:hAnsi="Times New Roman"/>
          <w:sz w:val="20"/>
          <w:szCs w:val="20"/>
        </w:rPr>
        <w:t xml:space="preserve">The existing scrambling initialization </w:t>
      </w:r>
      <w:r>
        <w:rPr>
          <w:rFonts w:ascii="Times New Roman" w:hAnsi="Times New Roman"/>
          <w:position w:val="-14"/>
          <w:sz w:val="20"/>
          <w:szCs w:val="20"/>
        </w:rPr>
        <w:object w:dxaOrig="763" w:dyaOrig="344" w14:anchorId="5C988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17.05pt" o:ole="">
            <v:imagedata r:id="rId25" o:title=""/>
          </v:shape>
          <o:OLEObject Type="Embed" ProgID="Equation.KSEE3" ShapeID="_x0000_i1025" DrawAspect="Content" ObjectID="_1631650006" r:id="rId26"/>
        </w:object>
      </w:r>
      <w:r>
        <w:rPr>
          <w:rFonts w:ascii="Times New Roman" w:hAnsi="Times New Roman"/>
          <w:bCs/>
          <w:sz w:val="20"/>
          <w:szCs w:val="20"/>
        </w:rPr>
        <w:t xml:space="preserve"> </w:t>
      </w:r>
      <w:r>
        <w:rPr>
          <w:rFonts w:ascii="Times New Roman" w:hAnsi="Times New Roman"/>
          <w:sz w:val="20"/>
          <w:szCs w:val="20"/>
        </w:rPr>
        <w:t>is shown as follow:</w:t>
      </w:r>
    </w:p>
    <w:p w:rsidR="005F5B2F" w:rsidRDefault="00AA4AC4">
      <w:pPr>
        <w:spacing w:beforeLines="50" w:before="120" w:afterLines="50" w:after="120"/>
        <w:jc w:val="center"/>
        <w:rPr>
          <w:rFonts w:ascii="Times New Roman" w:hAnsi="Times New Roman"/>
          <w:sz w:val="20"/>
          <w:szCs w:val="20"/>
        </w:rPr>
      </w:pPr>
      <w:r>
        <w:rPr>
          <w:rFonts w:ascii="Times New Roman" w:hAnsi="Times New Roman" w:hint="eastAsia"/>
          <w:position w:val="-28"/>
          <w:sz w:val="20"/>
          <w:szCs w:val="20"/>
        </w:rPr>
        <w:object w:dxaOrig="6720" w:dyaOrig="660" w14:anchorId="1E4A4DC7">
          <v:shape id="_x0000_i1026" type="#_x0000_t75" style="width:336pt;height:32.9pt" o:ole="">
            <v:imagedata r:id="rId27" o:title=""/>
          </v:shape>
          <o:OLEObject Type="Embed" ProgID="Equation.KSEE3" ShapeID="_x0000_i1026" DrawAspect="Content" ObjectID="_1631650007" r:id="rId28"/>
        </w:object>
      </w:r>
    </w:p>
    <w:p w:rsidR="005F5B2F" w:rsidRDefault="00AA4AC4">
      <w:pPr>
        <w:spacing w:beforeLines="50" w:before="120" w:afterLines="50" w:after="120"/>
        <w:jc w:val="both"/>
        <w:rPr>
          <w:rFonts w:ascii="Times New Roman" w:hAnsi="Times New Roman"/>
          <w:iCs/>
          <w:sz w:val="20"/>
          <w:szCs w:val="20"/>
        </w:rPr>
      </w:pPr>
      <w:r>
        <w:rPr>
          <w:rFonts w:ascii="Times New Roman" w:hAnsi="Times New Roman"/>
          <w:iCs/>
          <w:sz w:val="20"/>
          <w:szCs w:val="20"/>
        </w:rPr>
        <w:t xml:space="preserve">There are remaining 2 bits to indicate 4 UE-group MWUS resources. Considering the </w:t>
      </w:r>
      <w:r>
        <w:rPr>
          <w:rFonts w:ascii="Times New Roman" w:hAnsi="Times New Roman" w:hint="eastAsia"/>
          <w:iCs/>
          <w:sz w:val="20"/>
          <w:szCs w:val="20"/>
        </w:rPr>
        <w:t xml:space="preserve">randomization of </w:t>
      </w:r>
      <w:r>
        <w:rPr>
          <w:rFonts w:ascii="Times New Roman" w:hAnsi="Times New Roman"/>
          <w:sz w:val="20"/>
          <w:szCs w:val="20"/>
        </w:rPr>
        <w:t>scrambling sequence</w:t>
      </w:r>
      <w:r>
        <w:rPr>
          <w:rFonts w:ascii="Times New Roman" w:hAnsi="Times New Roman" w:hint="eastAsia"/>
          <w:sz w:val="20"/>
          <w:szCs w:val="20"/>
        </w:rPr>
        <w:t>,</w:t>
      </w:r>
      <w:r>
        <w:rPr>
          <w:rFonts w:ascii="Times New Roman" w:hAnsi="Times New Roman"/>
          <w:iCs/>
          <w:sz w:val="20"/>
          <w:szCs w:val="20"/>
        </w:rPr>
        <w:t xml:space="preserve"> the </w:t>
      </w:r>
      <w:r>
        <w:rPr>
          <w:rFonts w:ascii="Times New Roman" w:hAnsi="Times New Roman"/>
          <w:sz w:val="20"/>
          <w:szCs w:val="20"/>
        </w:rPr>
        <w:t xml:space="preserve">scrambling initialization </w:t>
      </w:r>
      <w:r>
        <w:rPr>
          <w:rFonts w:ascii="Times New Roman" w:hAnsi="Times New Roman"/>
          <w:position w:val="-14"/>
          <w:sz w:val="20"/>
          <w:szCs w:val="20"/>
        </w:rPr>
        <w:object w:dxaOrig="763" w:dyaOrig="344" w14:anchorId="105F776D">
          <v:shape id="_x0000_i1027" type="#_x0000_t75" style="width:37.95pt;height:17.05pt" o:ole="">
            <v:imagedata r:id="rId25" o:title=""/>
          </v:shape>
          <o:OLEObject Type="Embed" ProgID="Equation.KSEE3" ShapeID="_x0000_i1027" DrawAspect="Content" ObjectID="_1631650008" r:id="rId29"/>
        </w:object>
      </w:r>
      <w:r>
        <w:rPr>
          <w:rFonts w:ascii="Times New Roman" w:hAnsi="Times New Roman"/>
          <w:iCs/>
          <w:sz w:val="20"/>
          <w:szCs w:val="20"/>
        </w:rPr>
        <w:t xml:space="preserve"> is replaced by:</w:t>
      </w:r>
    </w:p>
    <w:p w:rsidR="005F5B2F" w:rsidRDefault="00AA4AC4">
      <w:pPr>
        <w:spacing w:beforeLines="50" w:before="120" w:afterLines="50" w:after="120"/>
        <w:rPr>
          <w:rFonts w:ascii="Cambria Math" w:hAnsi="Cambria Math"/>
          <w:highlight w:val="yellow"/>
        </w:rPr>
      </w:pPr>
      <w:r>
        <w:rPr>
          <w:rFonts w:ascii="Times New Roman" w:hAnsi="Times New Roman" w:hint="eastAsia"/>
          <w:position w:val="-28"/>
          <w:sz w:val="20"/>
          <w:szCs w:val="20"/>
        </w:rPr>
        <w:object w:dxaOrig="8180" w:dyaOrig="660" w14:anchorId="69AD0F45">
          <v:shape id="_x0000_i1028" type="#_x0000_t75" style="width:408.75pt;height:32.9pt" o:ole="">
            <v:imagedata r:id="rId30" o:title=""/>
          </v:shape>
          <o:OLEObject Type="Embed" ProgID="Equation.KSEE3" ShapeID="_x0000_i1028" DrawAspect="Content" ObjectID="_1631650009" r:id="rId31"/>
        </w:object>
      </w:r>
    </w:p>
    <w:p w:rsidR="005F5B2F" w:rsidRDefault="00AA4AC4">
      <w:pPr>
        <w:spacing w:beforeLines="50" w:before="120" w:afterLines="50" w:after="120"/>
        <w:rPr>
          <w:rFonts w:ascii="Times New Roman" w:hAnsi="Times New Roman"/>
          <w:sz w:val="20"/>
          <w:szCs w:val="20"/>
        </w:rPr>
      </w:pPr>
      <w:r>
        <w:rPr>
          <w:rFonts w:ascii="Times New Roman" w:hAnsi="Times New Roman"/>
          <w:sz w:val="20"/>
          <w:szCs w:val="20"/>
        </w:rPr>
        <w:t xml:space="preserve">Wherein </w:t>
      </w:r>
      <w:r>
        <w:rPr>
          <w:rFonts w:ascii="Times New Roman" w:hAnsi="Times New Roman"/>
          <w:position w:val="-14"/>
          <w:sz w:val="20"/>
          <w:szCs w:val="20"/>
        </w:rPr>
        <w:object w:dxaOrig="1140" w:dyaOrig="340" w14:anchorId="6D8592F5">
          <v:shape id="_x0000_i1029" type="#_x0000_t75" style="width:57.3pt;height:17.05pt" o:ole="">
            <v:imagedata r:id="rId32" o:title=""/>
          </v:shape>
          <o:OLEObject Type="Embed" ProgID="Equation.KSEE3" ShapeID="_x0000_i1029" DrawAspect="Content" ObjectID="_1631650010" r:id="rId33"/>
        </w:object>
      </w:r>
      <w:r>
        <w:rPr>
          <w:rFonts w:ascii="Times New Roman" w:hAnsi="Times New Roman"/>
          <w:sz w:val="20"/>
          <w:szCs w:val="20"/>
          <w:vertAlign w:val="subscript"/>
        </w:rPr>
        <w:t xml:space="preserve"> </w:t>
      </w:r>
      <w:r>
        <w:rPr>
          <w:rFonts w:ascii="Times New Roman" w:hAnsi="Times New Roman"/>
          <w:sz w:val="20"/>
          <w:szCs w:val="20"/>
        </w:rPr>
        <w:t xml:space="preserve">is </w:t>
      </w:r>
      <w:r>
        <w:rPr>
          <w:rFonts w:ascii="Times New Roman" w:hAnsi="Times New Roman" w:hint="eastAsia"/>
          <w:sz w:val="20"/>
          <w:szCs w:val="20"/>
        </w:rPr>
        <w:t>UE-group M</w:t>
      </w:r>
      <w:r>
        <w:rPr>
          <w:rFonts w:ascii="Times New Roman" w:hAnsi="Times New Roman"/>
          <w:sz w:val="20"/>
          <w:szCs w:val="20"/>
        </w:rPr>
        <w:t>WUS resource index.</w:t>
      </w:r>
    </w:p>
    <w:p w:rsidR="005F5B2F" w:rsidRDefault="00AA4AC4">
      <w:pPr>
        <w:spacing w:beforeLines="50" w:before="120" w:afterLines="50" w:after="120"/>
        <w:rPr>
          <w:rFonts w:ascii="Times New Roman" w:hAnsi="Times New Roman"/>
          <w:b/>
          <w:bCs/>
          <w:i/>
          <w:iCs/>
          <w:sz w:val="20"/>
          <w:szCs w:val="20"/>
        </w:rPr>
      </w:pPr>
      <w:r>
        <w:rPr>
          <w:rFonts w:ascii="Times New Roman" w:hAnsi="Times New Roman"/>
          <w:b/>
          <w:bCs/>
          <w:i/>
          <w:iCs/>
          <w:sz w:val="20"/>
          <w:szCs w:val="20"/>
        </w:rPr>
        <w:t xml:space="preserve">Proposal </w:t>
      </w:r>
      <w:r>
        <w:rPr>
          <w:rFonts w:ascii="Times New Roman" w:hAnsi="Times New Roman" w:hint="eastAsia"/>
          <w:b/>
          <w:bCs/>
          <w:i/>
          <w:iCs/>
          <w:sz w:val="20"/>
          <w:szCs w:val="20"/>
        </w:rPr>
        <w:t xml:space="preserve">5: </w:t>
      </w:r>
      <w:r>
        <w:rPr>
          <w:rFonts w:ascii="Times New Roman" w:hAnsi="Times New Roman"/>
          <w:b/>
          <w:bCs/>
          <w:i/>
          <w:iCs/>
          <w:sz w:val="20"/>
          <w:szCs w:val="20"/>
        </w:rPr>
        <w:t xml:space="preserve">The scrambling initialization </w:t>
      </w:r>
      <w:r>
        <w:rPr>
          <w:rFonts w:ascii="Times New Roman" w:hAnsi="Times New Roman"/>
          <w:b/>
          <w:bCs/>
          <w:i/>
          <w:iCs/>
          <w:position w:val="-14"/>
          <w:sz w:val="20"/>
          <w:szCs w:val="20"/>
        </w:rPr>
        <w:object w:dxaOrig="763" w:dyaOrig="344" w14:anchorId="779D6639">
          <v:shape id="_x0000_i1030" type="#_x0000_t75" style="width:37.95pt;height:17.05pt" o:ole="">
            <v:imagedata r:id="rId25" o:title=""/>
          </v:shape>
          <o:OLEObject Type="Embed" ProgID="Equation.KSEE3" ShapeID="_x0000_i1030" DrawAspect="Content" ObjectID="_1631650011" r:id="rId34"/>
        </w:object>
      </w:r>
      <w:r>
        <w:rPr>
          <w:rFonts w:ascii="Times New Roman" w:hAnsi="Times New Roman"/>
          <w:b/>
          <w:bCs/>
          <w:i/>
          <w:iCs/>
          <w:sz w:val="20"/>
          <w:szCs w:val="20"/>
        </w:rPr>
        <w:t xml:space="preserve"> </w:t>
      </w:r>
      <w:r>
        <w:rPr>
          <w:rFonts w:ascii="Times New Roman" w:hAnsi="Times New Roman" w:hint="eastAsia"/>
          <w:b/>
          <w:bCs/>
          <w:i/>
          <w:iCs/>
          <w:sz w:val="20"/>
          <w:szCs w:val="20"/>
        </w:rPr>
        <w:t xml:space="preserve">of UE-group MWUS sequence </w:t>
      </w:r>
      <w:r>
        <w:rPr>
          <w:rFonts w:ascii="Times New Roman" w:hAnsi="Times New Roman"/>
          <w:b/>
          <w:bCs/>
          <w:i/>
          <w:iCs/>
          <w:sz w:val="20"/>
          <w:szCs w:val="20"/>
        </w:rPr>
        <w:t>is replaced by:</w:t>
      </w:r>
    </w:p>
    <w:p w:rsidR="005F5B2F" w:rsidRDefault="00AA4AC4">
      <w:pPr>
        <w:spacing w:beforeLines="50" w:before="120" w:afterLines="50" w:after="120"/>
        <w:rPr>
          <w:rFonts w:ascii="Times New Roman" w:hAnsi="Times New Roman"/>
          <w:b/>
          <w:bCs/>
          <w:i/>
          <w:iCs/>
          <w:sz w:val="20"/>
          <w:szCs w:val="20"/>
        </w:rPr>
      </w:pPr>
      <w:r>
        <w:rPr>
          <w:rFonts w:ascii="Times New Roman" w:hAnsi="Times New Roman" w:hint="eastAsia"/>
          <w:position w:val="-28"/>
          <w:sz w:val="20"/>
          <w:szCs w:val="20"/>
        </w:rPr>
        <w:object w:dxaOrig="8180" w:dyaOrig="660" w14:anchorId="66E6412A">
          <v:shape id="_x0000_i1031" type="#_x0000_t75" style="width:408.75pt;height:32.9pt" o:ole="">
            <v:imagedata r:id="rId30" o:title=""/>
          </v:shape>
          <o:OLEObject Type="Embed" ProgID="Equation.KSEE3" ShapeID="_x0000_i1031" DrawAspect="Content" ObjectID="_1631650012" r:id="rId35"/>
        </w:object>
      </w:r>
    </w:p>
    <w:p w:rsidR="005F5B2F" w:rsidRDefault="00AA4AC4">
      <w:pPr>
        <w:spacing w:beforeLines="50" w:before="120" w:afterLines="50" w:after="120"/>
        <w:rPr>
          <w:rFonts w:ascii="Times New Roman" w:hAnsi="Times New Roman"/>
          <w:sz w:val="20"/>
          <w:szCs w:val="20"/>
        </w:rPr>
      </w:pPr>
      <w:r>
        <w:rPr>
          <w:rFonts w:ascii="Times New Roman" w:hAnsi="Times New Roman" w:hint="eastAsia"/>
          <w:sz w:val="20"/>
          <w:szCs w:val="20"/>
        </w:rPr>
        <w:lastRenderedPageBreak/>
        <w:t>I</w:t>
      </w:r>
      <w:r>
        <w:rPr>
          <w:rFonts w:ascii="Times New Roman" w:hAnsi="Times New Roman"/>
          <w:sz w:val="20"/>
          <w:szCs w:val="20"/>
        </w:rPr>
        <w:t>n R</w:t>
      </w:r>
      <w:r>
        <w:rPr>
          <w:rFonts w:ascii="Times New Roman" w:hAnsi="Times New Roman" w:hint="eastAsia"/>
          <w:sz w:val="20"/>
          <w:szCs w:val="20"/>
        </w:rPr>
        <w:t>AN</w:t>
      </w:r>
      <w:r>
        <w:rPr>
          <w:rFonts w:ascii="Times New Roman" w:hAnsi="Times New Roman"/>
          <w:sz w:val="20"/>
          <w:szCs w:val="20"/>
        </w:rPr>
        <w:t>1 #9</w:t>
      </w:r>
      <w:r>
        <w:rPr>
          <w:rFonts w:ascii="Times New Roman" w:hAnsi="Times New Roman" w:hint="eastAsia"/>
          <w:sz w:val="20"/>
          <w:szCs w:val="20"/>
        </w:rPr>
        <w:t>6</w:t>
      </w:r>
      <w:r>
        <w:rPr>
          <w:rFonts w:ascii="Times New Roman" w:hAnsi="Times New Roman"/>
          <w:sz w:val="20"/>
          <w:szCs w:val="20"/>
        </w:rPr>
        <w:t xml:space="preserve"> meeting, the following agreement for</w:t>
      </w:r>
      <w:r>
        <w:rPr>
          <w:rFonts w:ascii="Times New Roman" w:hAnsi="Times New Roman" w:hint="eastAsia"/>
          <w:sz w:val="20"/>
          <w:szCs w:val="20"/>
        </w:rPr>
        <w:t xml:space="preserve"> UE-</w:t>
      </w:r>
      <w:r>
        <w:rPr>
          <w:rFonts w:ascii="Times New Roman" w:hAnsi="Times New Roman"/>
          <w:sz w:val="20"/>
          <w:szCs w:val="20"/>
        </w:rPr>
        <w:t>group MWUS sequence has been reached:</w:t>
      </w:r>
    </w:p>
    <w:p w:rsidR="005F5B2F" w:rsidRDefault="00AA4AC4">
      <w:pPr>
        <w:spacing w:beforeLines="50" w:before="120" w:afterLines="50" w:after="120"/>
        <w:jc w:val="both"/>
        <w:rPr>
          <w:rFonts w:ascii="Times New Roman" w:hAnsi="Times New Roman"/>
          <w:sz w:val="20"/>
          <w:szCs w:val="20"/>
        </w:rPr>
      </w:pPr>
      <w:r>
        <w:rPr>
          <w:rFonts w:ascii="Times New Roman" w:hAnsi="Times New Roman"/>
          <w:sz w:val="20"/>
          <w:szCs w:val="20"/>
        </w:rPr>
        <w:t>UE-group MWUS sequence is same as UE-group NWUS per RB and the same sequence is repeated in two PRBs.</w:t>
      </w:r>
    </w:p>
    <w:p w:rsidR="005F5B2F" w:rsidRDefault="00AA4AC4">
      <w:pPr>
        <w:pStyle w:val="af0"/>
        <w:spacing w:beforeLines="50" w:before="120" w:afterLines="50" w:after="120" w:line="276" w:lineRule="auto"/>
        <w:jc w:val="both"/>
      </w:pPr>
      <w:r>
        <w:rPr>
          <w:rFonts w:ascii="Times New Roman" w:hAnsi="Times New Roman" w:hint="eastAsia"/>
          <w:iCs/>
          <w:sz w:val="20"/>
          <w:szCs w:val="20"/>
        </w:rPr>
        <w:t xml:space="preserve">For reducing PAPR of UE-group MWUS, it has been proposed that UE-group MWUS sequence is not generated by repeating UE-group NWUS sequence. But considering the PAPR of MWUS has little effect on the PAPR of whole bandwidth, and eNB can uses implementation ways to solve the PAPR issue, therefore we propose UE-group MWUS sequence is generated by repeating UE-group NWUS sequence in two PRBs. </w:t>
      </w:r>
    </w:p>
    <w:p w:rsidR="005F5B2F" w:rsidRDefault="00AA4AC4">
      <w:pPr>
        <w:spacing w:beforeLines="50" w:before="120" w:afterLines="50" w:after="120"/>
        <w:jc w:val="both"/>
        <w:rPr>
          <w:rFonts w:ascii="Times New Roman" w:hAnsi="Times New Roman"/>
          <w:b/>
          <w:i/>
          <w:sz w:val="20"/>
          <w:szCs w:val="20"/>
        </w:rPr>
      </w:pPr>
      <w:r>
        <w:rPr>
          <w:rFonts w:ascii="Times New Roman" w:hAnsi="Times New Roman" w:hint="eastAsia"/>
          <w:b/>
          <w:i/>
          <w:sz w:val="20"/>
          <w:szCs w:val="20"/>
        </w:rPr>
        <w:t>Proposal 6:</w:t>
      </w:r>
      <w:r>
        <w:rPr>
          <w:rFonts w:ascii="Times New Roman" w:hAnsi="Times New Roman"/>
          <w:b/>
          <w:i/>
          <w:sz w:val="20"/>
          <w:szCs w:val="20"/>
        </w:rPr>
        <w:t xml:space="preserve"> UE-group MWUS sequence is same as UE-group NWUS per RB and the same sequence is repeated in two PRBs.</w:t>
      </w:r>
    </w:p>
    <w:p w:rsidR="005F5B2F" w:rsidRDefault="00AA4AC4">
      <w:pPr>
        <w:spacing w:beforeLines="50" w:before="120" w:afterLines="50" w:after="120"/>
        <w:jc w:val="both"/>
        <w:rPr>
          <w:rFonts w:ascii="Times New Roman" w:hAnsi="Times New Roman"/>
          <w:sz w:val="20"/>
          <w:szCs w:val="20"/>
        </w:rPr>
      </w:pPr>
      <w:r>
        <w:rPr>
          <w:rFonts w:ascii="Times New Roman" w:hAnsi="Times New Roman" w:hint="eastAsia"/>
          <w:sz w:val="20"/>
          <w:szCs w:val="20"/>
        </w:rPr>
        <w:t xml:space="preserve">In </w:t>
      </w:r>
      <w:r>
        <w:rPr>
          <w:rFonts w:ascii="Times New Roman" w:hAnsi="Times New Roman"/>
          <w:sz w:val="20"/>
          <w:szCs w:val="20"/>
        </w:rPr>
        <w:t>RAN1#98 meeting, the following conclusion was made</w:t>
      </w:r>
      <w:r>
        <w:rPr>
          <w:rFonts w:ascii="Times New Roman" w:hAnsi="Times New Roman" w:hint="eastAsia"/>
          <w:sz w:val="20"/>
          <w:szCs w:val="20"/>
        </w:rPr>
        <w:t xml:space="preserve"> for NWUS sequence</w:t>
      </w:r>
      <w:r>
        <w:rPr>
          <w:rFonts w:ascii="Times New Roman" w:hAnsi="Times New Roman"/>
          <w:sz w:val="20"/>
          <w:szCs w:val="20"/>
        </w:rPr>
        <w:t>:</w:t>
      </w:r>
    </w:p>
    <w:p w:rsidR="005F5B2F" w:rsidRDefault="00AA4AC4">
      <w:pPr>
        <w:rPr>
          <w:rFonts w:ascii="Times New Roman" w:hAnsi="Times New Roman"/>
          <w:sz w:val="20"/>
          <w:szCs w:val="20"/>
        </w:rPr>
      </w:pPr>
      <w:r>
        <w:rPr>
          <w:rFonts w:ascii="Times New Roman" w:hAnsi="Times New Roman"/>
          <w:sz w:val="20"/>
          <w:szCs w:val="20"/>
        </w:rPr>
        <w:t>G = 132 and g = 14*(UE_group_index+1), 0 ≤ UE_group_index ≤ 7</w:t>
      </w:r>
    </w:p>
    <w:p w:rsidR="005F5B2F" w:rsidRDefault="00AA4AC4">
      <w:pPr>
        <w:spacing w:beforeLines="50" w:before="120" w:afterLines="50" w:after="120"/>
        <w:jc w:val="both"/>
        <w:rPr>
          <w:rStyle w:val="ProposalChar"/>
          <w:rFonts w:eastAsia="宋体"/>
          <w:b w:val="0"/>
          <w:bCs w:val="0"/>
          <w:sz w:val="20"/>
        </w:rPr>
      </w:pPr>
      <w:r>
        <w:rPr>
          <w:rStyle w:val="ProposalChar"/>
          <w:rFonts w:eastAsia="宋体" w:hint="eastAsia"/>
          <w:b w:val="0"/>
          <w:bCs w:val="0"/>
          <w:sz w:val="20"/>
        </w:rPr>
        <w:t>The value of UE_group_index depends on grouping scheme, the number of groups in each UE-group MWUS resource and the number of service-type configured for each UE-group NWUS resource. For example, the value of UE-group-index is between 0 and 31 if the grouping scheme is only based on UE_ID when there are four UE-group MWUS resources. But the value of UE-group-index for determining MWUS sequence is between 0 and 7. The range of UE-group</w:t>
      </w:r>
      <w:r w:rsidR="007155D4">
        <w:rPr>
          <w:rStyle w:val="ProposalChar"/>
          <w:rFonts w:eastAsia="宋体"/>
          <w:b w:val="0"/>
          <w:bCs w:val="0"/>
          <w:sz w:val="20"/>
        </w:rPr>
        <w:t xml:space="preserve"> </w:t>
      </w:r>
      <w:r>
        <w:rPr>
          <w:rStyle w:val="ProposalChar"/>
          <w:rFonts w:eastAsia="宋体" w:hint="eastAsia"/>
          <w:b w:val="0"/>
          <w:bCs w:val="0"/>
          <w:sz w:val="20"/>
        </w:rPr>
        <w:t>index is changed when the grouping scheme is based on UE_ID and service-type. Therefore the details of UE_group_index for determining MWUS sequence need further clarified after RAN2 discussion.</w:t>
      </w:r>
    </w:p>
    <w:p w:rsidR="005F5B2F" w:rsidRDefault="00AA4AC4">
      <w:pPr>
        <w:spacing w:beforeLines="50" w:before="120" w:afterLines="50" w:after="120"/>
        <w:jc w:val="both"/>
        <w:rPr>
          <w:rStyle w:val="ProposalChar"/>
          <w:rFonts w:eastAsia="宋体"/>
          <w:i/>
          <w:iCs/>
          <w:sz w:val="20"/>
          <w:highlight w:val="yellow"/>
        </w:rPr>
      </w:pPr>
      <w:r>
        <w:rPr>
          <w:rStyle w:val="ProposalChar"/>
          <w:rFonts w:eastAsia="宋体"/>
          <w:i/>
          <w:iCs/>
          <w:sz w:val="20"/>
        </w:rPr>
        <w:t xml:space="preserve">Proposal 7: The details of UE_group_index for determining UE-group MWUS sequence need </w:t>
      </w:r>
      <w:r w:rsidR="00136250">
        <w:rPr>
          <w:rStyle w:val="ProposalChar"/>
          <w:rFonts w:eastAsia="宋体"/>
          <w:i/>
          <w:iCs/>
          <w:sz w:val="20"/>
        </w:rPr>
        <w:t>further clarification and also depend on</w:t>
      </w:r>
      <w:r>
        <w:rPr>
          <w:rStyle w:val="ProposalChar"/>
          <w:rFonts w:eastAsia="宋体"/>
          <w:i/>
          <w:iCs/>
          <w:sz w:val="20"/>
        </w:rPr>
        <w:t xml:space="preserve"> </w:t>
      </w:r>
      <w:r w:rsidR="00136250">
        <w:rPr>
          <w:rStyle w:val="ProposalChar"/>
          <w:rFonts w:eastAsia="宋体"/>
          <w:i/>
          <w:iCs/>
          <w:sz w:val="20"/>
        </w:rPr>
        <w:t>ongoing</w:t>
      </w:r>
      <w:bookmarkStart w:id="10" w:name="_GoBack"/>
      <w:bookmarkEnd w:id="10"/>
      <w:r>
        <w:rPr>
          <w:rStyle w:val="ProposalChar"/>
          <w:rFonts w:eastAsia="宋体"/>
          <w:i/>
          <w:iCs/>
          <w:sz w:val="20"/>
        </w:rPr>
        <w:t xml:space="preserve"> RAN2 discussion.</w:t>
      </w:r>
    </w:p>
    <w:p w:rsidR="005F5B2F" w:rsidRDefault="00AA4AC4">
      <w:pPr>
        <w:pStyle w:val="1"/>
        <w:spacing w:beforeLines="50" w:before="120" w:afterLines="50" w:after="120" w:line="360" w:lineRule="auto"/>
        <w:ind w:left="431" w:hanging="431"/>
        <w:rPr>
          <w:lang w:val="en-US"/>
        </w:rPr>
      </w:pPr>
      <w:r>
        <w:rPr>
          <w:lang w:val="en-US"/>
        </w:rPr>
        <w:t>Conclusions</w:t>
      </w:r>
    </w:p>
    <w:p w:rsidR="005F5B2F" w:rsidRDefault="00AA4AC4">
      <w:pPr>
        <w:pStyle w:val="a8"/>
        <w:spacing w:beforeLines="50" w:before="120" w:afterLines="50" w:after="120" w:line="276" w:lineRule="auto"/>
        <w:rPr>
          <w:color w:val="auto"/>
          <w:sz w:val="20"/>
        </w:rPr>
      </w:pPr>
      <w:r>
        <w:rPr>
          <w:rFonts w:hint="eastAsia"/>
          <w:color w:val="auto"/>
          <w:sz w:val="20"/>
        </w:rPr>
        <w:t>In this contribution, we have discussed the Rel-16 group MWUS for MTC. We make the following proposals:</w:t>
      </w:r>
    </w:p>
    <w:p w:rsidR="005F5B2F" w:rsidRDefault="00AA4AC4">
      <w:pPr>
        <w:spacing w:beforeLines="50" w:before="120" w:afterLines="50" w:after="120"/>
        <w:rPr>
          <w:rFonts w:ascii="Times New Roman" w:hAnsi="Times New Roman"/>
          <w:b/>
          <w:bCs/>
          <w:i/>
          <w:iCs/>
          <w:sz w:val="20"/>
          <w:szCs w:val="20"/>
        </w:rPr>
      </w:pPr>
      <w:r>
        <w:rPr>
          <w:rFonts w:ascii="Times New Roman" w:hAnsi="Times New Roman"/>
          <w:b/>
          <w:bCs/>
          <w:i/>
          <w:iCs/>
          <w:sz w:val="20"/>
          <w:szCs w:val="20"/>
        </w:rPr>
        <w:t xml:space="preserve">Proposal 1: </w:t>
      </w:r>
      <w:r>
        <w:rPr>
          <w:rFonts w:ascii="Times New Roman" w:hAnsi="Times New Roman" w:hint="eastAsia"/>
          <w:b/>
          <w:bCs/>
          <w:i/>
          <w:iCs/>
          <w:sz w:val="20"/>
          <w:szCs w:val="20"/>
        </w:rPr>
        <w:t>U</w:t>
      </w:r>
      <w:r>
        <w:rPr>
          <w:rFonts w:ascii="Times New Roman" w:hAnsi="Times New Roman"/>
          <w:b/>
          <w:bCs/>
          <w:i/>
          <w:iCs/>
          <w:sz w:val="20"/>
          <w:szCs w:val="20"/>
        </w:rPr>
        <w:t xml:space="preserve">p to 2 orthogonal resources including legacy </w:t>
      </w:r>
      <w:r>
        <w:rPr>
          <w:rFonts w:ascii="Times New Roman" w:hAnsi="Times New Roman" w:hint="eastAsia"/>
          <w:b/>
          <w:bCs/>
          <w:i/>
          <w:iCs/>
          <w:sz w:val="20"/>
          <w:szCs w:val="20"/>
        </w:rPr>
        <w:t>M</w:t>
      </w:r>
      <w:r>
        <w:rPr>
          <w:rFonts w:ascii="Times New Roman" w:hAnsi="Times New Roman"/>
          <w:b/>
          <w:bCs/>
          <w:i/>
          <w:iCs/>
          <w:sz w:val="20"/>
          <w:szCs w:val="20"/>
        </w:rPr>
        <w:t>WUS resource may be config</w:t>
      </w:r>
      <w:r>
        <w:rPr>
          <w:rFonts w:ascii="Times New Roman" w:hAnsi="Times New Roman" w:hint="eastAsia"/>
          <w:b/>
          <w:bCs/>
          <w:i/>
          <w:iCs/>
          <w:sz w:val="20"/>
          <w:szCs w:val="20"/>
        </w:rPr>
        <w:t>u</w:t>
      </w:r>
      <w:r>
        <w:rPr>
          <w:rFonts w:ascii="Times New Roman" w:hAnsi="Times New Roman"/>
          <w:b/>
          <w:bCs/>
          <w:i/>
          <w:iCs/>
          <w:sz w:val="20"/>
          <w:szCs w:val="20"/>
        </w:rPr>
        <w:t>red in frequency domain.</w:t>
      </w:r>
    </w:p>
    <w:p w:rsidR="005F5B2F" w:rsidRDefault="00AA4AC4">
      <w:pPr>
        <w:spacing w:beforeLines="50" w:before="120" w:afterLines="50" w:after="120"/>
        <w:jc w:val="both"/>
        <w:rPr>
          <w:rFonts w:ascii="Times New Roman" w:hAnsi="Times New Roman"/>
          <w:b/>
          <w:bCs/>
          <w:i/>
          <w:iCs/>
          <w:sz w:val="20"/>
          <w:szCs w:val="20"/>
        </w:rPr>
      </w:pPr>
      <w:r>
        <w:rPr>
          <w:rFonts w:ascii="Times New Roman" w:hAnsi="Times New Roman"/>
          <w:b/>
          <w:bCs/>
          <w:i/>
          <w:iCs/>
          <w:sz w:val="20"/>
          <w:szCs w:val="20"/>
        </w:rPr>
        <w:t>Proposal 2</w:t>
      </w:r>
      <w:r>
        <w:rPr>
          <w:rFonts w:ascii="Times New Roman" w:hAnsi="Times New Roman" w:hint="eastAsia"/>
          <w:b/>
          <w:bCs/>
          <w:i/>
          <w:iCs/>
          <w:sz w:val="20"/>
          <w:szCs w:val="20"/>
        </w:rPr>
        <w:t>: 15</w:t>
      </w:r>
      <w:r>
        <w:rPr>
          <w:rFonts w:ascii="Times New Roman" w:hAnsi="Times New Roman"/>
          <w:b/>
          <w:bCs/>
          <w:i/>
          <w:iCs/>
          <w:sz w:val="20"/>
          <w:szCs w:val="20"/>
        </w:rPr>
        <w:t xml:space="preserve"> </w:t>
      </w:r>
      <w:r>
        <w:rPr>
          <w:rFonts w:ascii="Times New Roman" w:hAnsi="Times New Roman" w:hint="eastAsia"/>
          <w:b/>
          <w:bCs/>
          <w:i/>
          <w:iCs/>
          <w:sz w:val="20"/>
          <w:szCs w:val="20"/>
        </w:rPr>
        <w:t>UE-group MWUS resource</w:t>
      </w:r>
      <w:r>
        <w:rPr>
          <w:rFonts w:ascii="Times New Roman" w:hAnsi="Times New Roman"/>
          <w:b/>
          <w:bCs/>
          <w:i/>
          <w:iCs/>
          <w:sz w:val="20"/>
          <w:szCs w:val="20"/>
        </w:rPr>
        <w:t xml:space="preserve"> </w:t>
      </w:r>
      <w:r>
        <w:rPr>
          <w:rFonts w:ascii="Times New Roman" w:hAnsi="Times New Roman" w:hint="eastAsia"/>
          <w:b/>
          <w:bCs/>
          <w:i/>
          <w:iCs/>
          <w:sz w:val="20"/>
          <w:szCs w:val="20"/>
        </w:rPr>
        <w:t xml:space="preserve">configurations </w:t>
      </w:r>
      <w:r>
        <w:rPr>
          <w:rFonts w:ascii="Times New Roman" w:hAnsi="Times New Roman"/>
          <w:b/>
          <w:bCs/>
          <w:i/>
          <w:iCs/>
          <w:sz w:val="20"/>
          <w:szCs w:val="20"/>
        </w:rPr>
        <w:t xml:space="preserve">should be supported. </w:t>
      </w:r>
    </w:p>
    <w:p w:rsidR="005F5B2F" w:rsidRDefault="00AA4AC4">
      <w:pPr>
        <w:numPr>
          <w:ilvl w:val="255"/>
          <w:numId w:val="0"/>
        </w:num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Proposal 3: UE group weighting is not supported.</w:t>
      </w:r>
    </w:p>
    <w:p w:rsidR="005F5B2F" w:rsidRDefault="00AA4AC4">
      <w:pPr>
        <w:numPr>
          <w:ilvl w:val="255"/>
          <w:numId w:val="0"/>
        </w:numPr>
        <w:spacing w:beforeLines="50" w:before="120" w:afterLines="50" w:after="120"/>
        <w:jc w:val="both"/>
        <w:rPr>
          <w:rFonts w:ascii="Times New Roman" w:hAnsi="Times New Roman"/>
          <w:b/>
          <w:bCs/>
          <w:i/>
          <w:iCs/>
          <w:sz w:val="20"/>
          <w:szCs w:val="20"/>
        </w:rPr>
      </w:pPr>
      <w:r>
        <w:rPr>
          <w:rFonts w:ascii="Times New Roman" w:hAnsi="Times New Roman"/>
          <w:b/>
          <w:bCs/>
          <w:i/>
          <w:iCs/>
          <w:sz w:val="20"/>
          <w:szCs w:val="20"/>
        </w:rPr>
        <w:t xml:space="preserve">Proposal 4: The actual UE-group MWUS resource is determined by the following formula: </w:t>
      </w:r>
    </w:p>
    <w:p w:rsidR="005F5B2F" w:rsidRDefault="00AA4AC4">
      <w:pPr>
        <w:numPr>
          <w:ilvl w:val="255"/>
          <w:numId w:val="0"/>
        </w:numPr>
        <w:spacing w:beforeLines="50" w:before="120" w:afterLines="50" w:after="120"/>
        <w:jc w:val="both"/>
        <w:rPr>
          <w:rFonts w:ascii="Times New Roman" w:hAnsi="Times New Roman"/>
          <w:b/>
          <w:bCs/>
          <w:i/>
          <w:iCs/>
          <w:sz w:val="20"/>
          <w:szCs w:val="20"/>
        </w:rPr>
      </w:pPr>
      <w:r>
        <w:rPr>
          <w:rFonts w:ascii="Times New Roman" w:hAnsi="Times New Roman"/>
          <w:b/>
          <w:bCs/>
          <w:i/>
          <w:iCs/>
          <w:sz w:val="20"/>
          <w:szCs w:val="20"/>
        </w:rPr>
        <w:t xml:space="preserve">actual UE-group MWUS resource index= mod(configured UE-group MWUS resource index + (SFN+1024*H_SFN)/T), number of configured UE-group MWUS resource). </w:t>
      </w:r>
    </w:p>
    <w:p w:rsidR="005F5B2F" w:rsidRDefault="00AA4AC4">
      <w:pPr>
        <w:numPr>
          <w:ilvl w:val="0"/>
          <w:numId w:val="6"/>
        </w:numPr>
        <w:spacing w:beforeLines="50" w:before="120" w:afterLines="50" w:after="120"/>
        <w:rPr>
          <w:b/>
          <w:bCs/>
          <w:i/>
          <w:iCs/>
          <w:sz w:val="20"/>
          <w:szCs w:val="20"/>
        </w:rPr>
      </w:pPr>
      <w:r>
        <w:rPr>
          <w:rFonts w:ascii="Times New Roman" w:hAnsi="Times New Roman" w:hint="eastAsia"/>
          <w:b/>
          <w:bCs/>
          <w:i/>
          <w:iCs/>
          <w:sz w:val="20"/>
          <w:szCs w:val="20"/>
        </w:rPr>
        <w:t xml:space="preserve"> SFN/H_SFN is the frame</w:t>
      </w:r>
      <w:r>
        <w:rPr>
          <w:rFonts w:ascii="Times New Roman" w:hAnsi="Times New Roman"/>
          <w:b/>
          <w:bCs/>
          <w:i/>
          <w:iCs/>
          <w:sz w:val="20"/>
          <w:szCs w:val="20"/>
        </w:rPr>
        <w:t>/</w:t>
      </w:r>
      <w:r>
        <w:rPr>
          <w:rFonts w:ascii="Times New Roman" w:hAnsi="Times New Roman" w:hint="eastAsia"/>
          <w:b/>
          <w:bCs/>
          <w:i/>
          <w:iCs/>
          <w:sz w:val="20"/>
          <w:szCs w:val="20"/>
        </w:rPr>
        <w:t>h</w:t>
      </w:r>
      <w:r>
        <w:rPr>
          <w:rFonts w:ascii="Times New Roman" w:hAnsi="Times New Roman"/>
          <w:b/>
          <w:bCs/>
          <w:i/>
          <w:iCs/>
          <w:sz w:val="20"/>
          <w:szCs w:val="20"/>
        </w:rPr>
        <w:t>yperframe</w:t>
      </w:r>
      <w:r>
        <w:rPr>
          <w:rFonts w:ascii="Times New Roman" w:hAnsi="Times New Roman" w:hint="eastAsia"/>
          <w:b/>
          <w:bCs/>
          <w:i/>
          <w:iCs/>
          <w:sz w:val="20"/>
          <w:szCs w:val="20"/>
        </w:rPr>
        <w:t xml:space="preserve"> index of corresponding PO</w:t>
      </w:r>
    </w:p>
    <w:p w:rsidR="005F5B2F" w:rsidRDefault="00AA4AC4">
      <w:pPr>
        <w:numPr>
          <w:ilvl w:val="0"/>
          <w:numId w:val="6"/>
        </w:numPr>
        <w:spacing w:beforeLines="50" w:before="120" w:afterLines="50" w:after="120"/>
        <w:rPr>
          <w:b/>
          <w:bCs/>
          <w:i/>
          <w:iCs/>
          <w:sz w:val="20"/>
          <w:szCs w:val="20"/>
        </w:rPr>
      </w:pPr>
      <w:r>
        <w:rPr>
          <w:rFonts w:ascii="Times New Roman" w:hAnsi="Times New Roman" w:hint="eastAsia"/>
          <w:b/>
          <w:bCs/>
          <w:i/>
          <w:iCs/>
          <w:sz w:val="20"/>
          <w:szCs w:val="20"/>
        </w:rPr>
        <w:t xml:space="preserve"> T </w:t>
      </w:r>
      <w:r>
        <w:rPr>
          <w:rFonts w:ascii="Times New Roman" w:hAnsi="Times New Roman"/>
          <w:b/>
          <w:bCs/>
          <w:i/>
          <w:iCs/>
          <w:sz w:val="20"/>
          <w:szCs w:val="20"/>
        </w:rPr>
        <w:t xml:space="preserve">is </w:t>
      </w:r>
      <w:r>
        <w:rPr>
          <w:rFonts w:ascii="Times New Roman" w:hAnsi="Times New Roman"/>
          <w:b/>
          <w:bCs/>
          <w:i/>
          <w:iCs/>
          <w:sz w:val="20"/>
          <w:szCs w:val="20"/>
          <w:lang w:eastAsia="ko-KR"/>
        </w:rPr>
        <w:t>DRX cycle of the UE</w:t>
      </w:r>
    </w:p>
    <w:p w:rsidR="005F5B2F" w:rsidRDefault="00AA4AC4">
      <w:pPr>
        <w:spacing w:beforeLines="50" w:before="120" w:afterLines="50" w:after="120"/>
        <w:rPr>
          <w:rFonts w:ascii="Times New Roman" w:hAnsi="Times New Roman"/>
          <w:b/>
          <w:bCs/>
          <w:i/>
          <w:iCs/>
          <w:sz w:val="20"/>
          <w:szCs w:val="20"/>
        </w:rPr>
      </w:pPr>
      <w:r>
        <w:rPr>
          <w:rFonts w:ascii="Times New Roman" w:hAnsi="Times New Roman"/>
          <w:b/>
          <w:bCs/>
          <w:i/>
          <w:iCs/>
          <w:sz w:val="20"/>
          <w:szCs w:val="20"/>
        </w:rPr>
        <w:t xml:space="preserve">Proposal 5: The scrambling initialization </w:t>
      </w:r>
      <w:r>
        <w:rPr>
          <w:rFonts w:ascii="Times New Roman" w:hAnsi="Times New Roman"/>
          <w:b/>
          <w:bCs/>
          <w:i/>
          <w:iCs/>
          <w:position w:val="-14"/>
          <w:sz w:val="20"/>
          <w:szCs w:val="20"/>
        </w:rPr>
        <w:object w:dxaOrig="763" w:dyaOrig="344" w14:anchorId="512C55CE">
          <v:shape id="_x0000_i1032" type="#_x0000_t75" style="width:37.95pt;height:17.05pt" o:ole="">
            <v:imagedata r:id="rId25" o:title=""/>
          </v:shape>
          <o:OLEObject Type="Embed" ProgID="Equation.KSEE3" ShapeID="_x0000_i1032" DrawAspect="Content" ObjectID="_1631650013" r:id="rId36"/>
        </w:object>
      </w:r>
      <w:r>
        <w:rPr>
          <w:rFonts w:ascii="Times New Roman" w:hAnsi="Times New Roman"/>
          <w:b/>
          <w:bCs/>
          <w:i/>
          <w:iCs/>
          <w:sz w:val="20"/>
          <w:szCs w:val="20"/>
        </w:rPr>
        <w:t xml:space="preserve"> of UE-group MWUS sequence is replaced by:</w:t>
      </w:r>
    </w:p>
    <w:p w:rsidR="005F5B2F" w:rsidRDefault="00AA4AC4">
      <w:pPr>
        <w:spacing w:beforeLines="50" w:before="120" w:afterLines="50" w:after="120"/>
        <w:rPr>
          <w:rFonts w:ascii="Times New Roman" w:hAnsi="Times New Roman"/>
          <w:b/>
          <w:bCs/>
          <w:i/>
          <w:iCs/>
          <w:sz w:val="20"/>
          <w:szCs w:val="20"/>
        </w:rPr>
      </w:pPr>
      <w:r>
        <w:rPr>
          <w:rFonts w:ascii="Times New Roman" w:hAnsi="Times New Roman" w:hint="eastAsia"/>
          <w:position w:val="-28"/>
          <w:sz w:val="20"/>
          <w:szCs w:val="20"/>
        </w:rPr>
        <w:object w:dxaOrig="8180" w:dyaOrig="660" w14:anchorId="172D4827">
          <v:shape id="_x0000_i1033" type="#_x0000_t75" style="width:408.75pt;height:32.9pt" o:ole="">
            <v:imagedata r:id="rId30" o:title=""/>
          </v:shape>
          <o:OLEObject Type="Embed" ProgID="Equation.KSEE3" ShapeID="_x0000_i1033" DrawAspect="Content" ObjectID="_1631650014" r:id="rId37"/>
        </w:object>
      </w:r>
    </w:p>
    <w:p w:rsidR="005F5B2F" w:rsidRDefault="00AA4AC4">
      <w:pPr>
        <w:spacing w:beforeLines="50" w:before="120" w:afterLines="50" w:after="120"/>
        <w:jc w:val="both"/>
        <w:rPr>
          <w:rFonts w:ascii="Times New Roman" w:hAnsi="Times New Roman"/>
          <w:b/>
          <w:i/>
          <w:sz w:val="20"/>
          <w:szCs w:val="20"/>
        </w:rPr>
      </w:pPr>
      <w:r>
        <w:rPr>
          <w:rFonts w:ascii="Times New Roman" w:hAnsi="Times New Roman"/>
          <w:b/>
          <w:i/>
          <w:sz w:val="20"/>
          <w:szCs w:val="20"/>
        </w:rPr>
        <w:t>Proposal 6: UE-group MWUS sequence is same as UE-group NWUS per RB and the same sequence is repeated in two PRBs.</w:t>
      </w:r>
    </w:p>
    <w:p w:rsidR="005F5B2F" w:rsidRDefault="00AA4AC4">
      <w:pPr>
        <w:spacing w:beforeLines="50" w:before="120" w:afterLines="50" w:after="120"/>
        <w:jc w:val="both"/>
        <w:rPr>
          <w:rStyle w:val="ProposalChar"/>
          <w:rFonts w:eastAsia="宋体"/>
          <w:i/>
          <w:iCs/>
          <w:sz w:val="20"/>
          <w:highlight w:val="yellow"/>
        </w:rPr>
      </w:pPr>
      <w:r>
        <w:rPr>
          <w:rStyle w:val="ProposalChar"/>
          <w:rFonts w:eastAsia="宋体"/>
          <w:i/>
          <w:iCs/>
          <w:sz w:val="20"/>
        </w:rPr>
        <w:t>Proposal 7: The details of UE_group_index for determining UE-group MWUS sequence need clarified after RAN2 discussion.</w:t>
      </w:r>
    </w:p>
    <w:p w:rsidR="005F5B2F" w:rsidRDefault="005F5B2F">
      <w:pPr>
        <w:pStyle w:val="a8"/>
        <w:spacing w:beforeLines="50" w:before="120" w:afterLines="50" w:after="120" w:line="276" w:lineRule="auto"/>
        <w:rPr>
          <w:color w:val="auto"/>
          <w:sz w:val="20"/>
        </w:rPr>
      </w:pPr>
    </w:p>
    <w:p w:rsidR="005F5B2F" w:rsidRDefault="00AA4AC4">
      <w:pPr>
        <w:pStyle w:val="1"/>
        <w:numPr>
          <w:ilvl w:val="0"/>
          <w:numId w:val="0"/>
        </w:numPr>
        <w:spacing w:beforeLines="50" w:before="120" w:afterLines="50" w:after="120" w:line="360" w:lineRule="auto"/>
        <w:ind w:left="431" w:hanging="431"/>
        <w:rPr>
          <w:lang w:val="en-US"/>
        </w:rPr>
      </w:pPr>
      <w:bookmarkStart w:id="11" w:name="OLE_LINK10"/>
      <w:bookmarkStart w:id="12" w:name="OLE_LINK11"/>
      <w:r>
        <w:rPr>
          <w:lang w:val="en-US"/>
        </w:rPr>
        <w:lastRenderedPageBreak/>
        <w:t>References</w:t>
      </w:r>
    </w:p>
    <w:bookmarkEnd w:id="11"/>
    <w:bookmarkEnd w:id="12"/>
    <w:p w:rsidR="005F5B2F" w:rsidRDefault="00AA4AC4">
      <w:pPr>
        <w:numPr>
          <w:ilvl w:val="0"/>
          <w:numId w:val="7"/>
        </w:numPr>
        <w:spacing w:after="0" w:line="264" w:lineRule="auto"/>
        <w:rPr>
          <w:rFonts w:ascii="Times New Roman" w:hAnsi="Times New Roman"/>
          <w:sz w:val="20"/>
        </w:rPr>
      </w:pPr>
      <w:r>
        <w:rPr>
          <w:rFonts w:ascii="Times New Roman" w:hAnsi="Times New Roman" w:hint="eastAsia"/>
          <w:sz w:val="20"/>
        </w:rPr>
        <w:t>3GPP, RP-181</w:t>
      </w:r>
      <w:r>
        <w:rPr>
          <w:rFonts w:ascii="Times New Roman" w:hAnsi="Times New Roman"/>
          <w:sz w:val="20"/>
        </w:rPr>
        <w:t>878</w:t>
      </w:r>
      <w:r>
        <w:rPr>
          <w:rFonts w:ascii="Times New Roman" w:hAnsi="Times New Roman" w:hint="eastAsia"/>
          <w:sz w:val="20"/>
        </w:rPr>
        <w:t xml:space="preserve">, </w:t>
      </w:r>
      <w:r>
        <w:rPr>
          <w:rFonts w:ascii="Times New Roman" w:hAnsi="Times New Roman"/>
          <w:sz w:val="20"/>
        </w:rPr>
        <w:t>Revised WID: Additional MTC enhancements for LTE</w:t>
      </w:r>
      <w:r>
        <w:rPr>
          <w:rFonts w:ascii="Times New Roman" w:hAnsi="Times New Roman" w:hint="eastAsia"/>
          <w:sz w:val="20"/>
        </w:rPr>
        <w:t>, Ericsson, RAN #80</w:t>
      </w:r>
    </w:p>
    <w:p w:rsidR="005F5B2F" w:rsidRDefault="005F5B2F"/>
    <w:p w:rsidR="005F5B2F" w:rsidRDefault="005F5B2F">
      <w:pPr>
        <w:spacing w:after="0" w:line="264" w:lineRule="auto"/>
        <w:ind w:firstLine="200"/>
        <w:jc w:val="both"/>
        <w:rPr>
          <w:rFonts w:ascii="Times New Roman" w:hAnsi="Times New Roman"/>
          <w:sz w:val="20"/>
        </w:rPr>
      </w:pPr>
    </w:p>
    <w:p w:rsidR="005F5B2F" w:rsidRDefault="005F5B2F">
      <w:pPr>
        <w:jc w:val="center"/>
      </w:pPr>
    </w:p>
    <w:sectPr w:rsidR="005F5B2F">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3F4B860"/>
    <w:multiLevelType w:val="singleLevel"/>
    <w:tmpl w:val="93F4B860"/>
    <w:lvl w:ilvl="0">
      <w:start w:val="1"/>
      <w:numFmt w:val="lowerLetter"/>
      <w:suff w:val="space"/>
      <w:lvlText w:val="(%1)"/>
      <w:lvlJc w:val="left"/>
    </w:lvl>
  </w:abstractNum>
  <w:abstractNum w:abstractNumId="1" w15:restartNumberingAfterBreak="0">
    <w:nsid w:val="0BDB7D9E"/>
    <w:multiLevelType w:val="multilevel"/>
    <w:tmpl w:val="0BDB7D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4662F1"/>
    <w:multiLevelType w:val="multilevel"/>
    <w:tmpl w:val="154662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6D7C645"/>
    <w:multiLevelType w:val="singleLevel"/>
    <w:tmpl w:val="46D7C645"/>
    <w:lvl w:ilvl="0">
      <w:start w:val="1"/>
      <w:numFmt w:val="bullet"/>
      <w:lvlText w:val=""/>
      <w:lvlJc w:val="left"/>
      <w:pPr>
        <w:ind w:left="420" w:hanging="420"/>
      </w:pPr>
      <w:rPr>
        <w:rFonts w:ascii="Wingdings" w:hAnsi="Wingdings" w:hint="default"/>
      </w:rPr>
    </w:lvl>
  </w:abstractNum>
  <w:abstractNum w:abstractNumId="5"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7FF24793"/>
    <w:multiLevelType w:val="multilevel"/>
    <w:tmpl w:val="7FF24793"/>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2"/>
  </w:num>
  <w:num w:numId="4">
    <w:abstractNumId w:val="0"/>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9"/>
  <w:doNotDisplayPageBoundaries/>
  <w:bordersDoNotSurroundHeader/>
  <w:bordersDoNotSurroundFooter/>
  <w:hideGrammaticalErrors/>
  <w:proofState w:spelling="clean" w:grammar="clean"/>
  <w:defaultTabStop w:val="720"/>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521"/>
    <w:rsid w:val="00025695"/>
    <w:rsid w:val="00025BC1"/>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C97"/>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9E3"/>
    <w:rsid w:val="00082A2D"/>
    <w:rsid w:val="00082B43"/>
    <w:rsid w:val="00082B44"/>
    <w:rsid w:val="00082C05"/>
    <w:rsid w:val="00082D7F"/>
    <w:rsid w:val="00082E4E"/>
    <w:rsid w:val="00083074"/>
    <w:rsid w:val="000830B1"/>
    <w:rsid w:val="0008320F"/>
    <w:rsid w:val="000833AE"/>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111"/>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958"/>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8F4"/>
    <w:rsid w:val="00106B53"/>
    <w:rsid w:val="00107175"/>
    <w:rsid w:val="00107183"/>
    <w:rsid w:val="00107BE0"/>
    <w:rsid w:val="00110103"/>
    <w:rsid w:val="001101EA"/>
    <w:rsid w:val="001102E6"/>
    <w:rsid w:val="00110925"/>
    <w:rsid w:val="00110E7D"/>
    <w:rsid w:val="0011123E"/>
    <w:rsid w:val="00111251"/>
    <w:rsid w:val="0011189E"/>
    <w:rsid w:val="001121E8"/>
    <w:rsid w:val="00112302"/>
    <w:rsid w:val="001124F9"/>
    <w:rsid w:val="0011277E"/>
    <w:rsid w:val="00113000"/>
    <w:rsid w:val="0011330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3E70"/>
    <w:rsid w:val="00134082"/>
    <w:rsid w:val="0013430F"/>
    <w:rsid w:val="001344B8"/>
    <w:rsid w:val="001345E2"/>
    <w:rsid w:val="0013489A"/>
    <w:rsid w:val="00134E6B"/>
    <w:rsid w:val="00135111"/>
    <w:rsid w:val="00135A0D"/>
    <w:rsid w:val="00135ADA"/>
    <w:rsid w:val="00135F0E"/>
    <w:rsid w:val="00135F8E"/>
    <w:rsid w:val="00135FD8"/>
    <w:rsid w:val="001361A8"/>
    <w:rsid w:val="00136250"/>
    <w:rsid w:val="00136342"/>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3B07"/>
    <w:rsid w:val="00154049"/>
    <w:rsid w:val="001541B6"/>
    <w:rsid w:val="001545E9"/>
    <w:rsid w:val="001545F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413D"/>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240"/>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098"/>
    <w:rsid w:val="001931D6"/>
    <w:rsid w:val="0019330C"/>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B84"/>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F5E"/>
    <w:rsid w:val="001D4840"/>
    <w:rsid w:val="001D5020"/>
    <w:rsid w:val="001D5024"/>
    <w:rsid w:val="001D502E"/>
    <w:rsid w:val="001D55C7"/>
    <w:rsid w:val="001D5632"/>
    <w:rsid w:val="001D586F"/>
    <w:rsid w:val="001D5973"/>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D8"/>
    <w:rsid w:val="001E07FB"/>
    <w:rsid w:val="001E0BA7"/>
    <w:rsid w:val="001E0CD5"/>
    <w:rsid w:val="001E0E35"/>
    <w:rsid w:val="001E1623"/>
    <w:rsid w:val="001E1690"/>
    <w:rsid w:val="001E18F5"/>
    <w:rsid w:val="001E1951"/>
    <w:rsid w:val="001E1A77"/>
    <w:rsid w:val="001E2053"/>
    <w:rsid w:val="001E2252"/>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DA"/>
    <w:rsid w:val="002049FA"/>
    <w:rsid w:val="00204EBE"/>
    <w:rsid w:val="00204EE8"/>
    <w:rsid w:val="002053FA"/>
    <w:rsid w:val="00205C1A"/>
    <w:rsid w:val="00205FF6"/>
    <w:rsid w:val="0020611C"/>
    <w:rsid w:val="00206893"/>
    <w:rsid w:val="00206A77"/>
    <w:rsid w:val="00207603"/>
    <w:rsid w:val="00207855"/>
    <w:rsid w:val="00207908"/>
    <w:rsid w:val="00207A98"/>
    <w:rsid w:val="00207F1E"/>
    <w:rsid w:val="002104D8"/>
    <w:rsid w:val="00210532"/>
    <w:rsid w:val="00210FD8"/>
    <w:rsid w:val="0021138D"/>
    <w:rsid w:val="00211512"/>
    <w:rsid w:val="0021195E"/>
    <w:rsid w:val="00211CEC"/>
    <w:rsid w:val="00211E00"/>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8E2"/>
    <w:rsid w:val="002268F2"/>
    <w:rsid w:val="00226BB9"/>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90"/>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0EC"/>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4BB2"/>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131"/>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2F1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3BCA"/>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3E2"/>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5A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8BB"/>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92"/>
    <w:rsid w:val="00321525"/>
    <w:rsid w:val="00321548"/>
    <w:rsid w:val="00321B1F"/>
    <w:rsid w:val="00321EAF"/>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633"/>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CB2"/>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6FA1"/>
    <w:rsid w:val="003C714F"/>
    <w:rsid w:val="003C7151"/>
    <w:rsid w:val="003C7514"/>
    <w:rsid w:val="003C75FA"/>
    <w:rsid w:val="003C774C"/>
    <w:rsid w:val="003C7C3B"/>
    <w:rsid w:val="003D0038"/>
    <w:rsid w:val="003D0BEC"/>
    <w:rsid w:val="003D0C73"/>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1EBF"/>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4F9D"/>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A72"/>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E6E"/>
    <w:rsid w:val="00437F70"/>
    <w:rsid w:val="0044012E"/>
    <w:rsid w:val="00440239"/>
    <w:rsid w:val="00440439"/>
    <w:rsid w:val="0044053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52C0"/>
    <w:rsid w:val="0044535D"/>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1B43"/>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6F8D"/>
    <w:rsid w:val="00457047"/>
    <w:rsid w:val="00457133"/>
    <w:rsid w:val="00457378"/>
    <w:rsid w:val="00457830"/>
    <w:rsid w:val="00457CD0"/>
    <w:rsid w:val="00457D9B"/>
    <w:rsid w:val="00457EEE"/>
    <w:rsid w:val="004601C5"/>
    <w:rsid w:val="00460246"/>
    <w:rsid w:val="00460AD3"/>
    <w:rsid w:val="004610F0"/>
    <w:rsid w:val="004612D6"/>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987"/>
    <w:rsid w:val="00466D3A"/>
    <w:rsid w:val="00466E9B"/>
    <w:rsid w:val="004676C6"/>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13"/>
    <w:rsid w:val="0047362F"/>
    <w:rsid w:val="00473BF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8E0"/>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0"/>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671"/>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DB"/>
    <w:rsid w:val="005679D7"/>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295"/>
    <w:rsid w:val="0059141E"/>
    <w:rsid w:val="00591524"/>
    <w:rsid w:val="00591689"/>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35"/>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6E16"/>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989"/>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3F14"/>
    <w:rsid w:val="005F410A"/>
    <w:rsid w:val="005F4168"/>
    <w:rsid w:val="005F4539"/>
    <w:rsid w:val="005F459D"/>
    <w:rsid w:val="005F4E10"/>
    <w:rsid w:val="005F5282"/>
    <w:rsid w:val="005F5369"/>
    <w:rsid w:val="005F54FB"/>
    <w:rsid w:val="005F55CD"/>
    <w:rsid w:val="005F5B26"/>
    <w:rsid w:val="005F5B2F"/>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3ED"/>
    <w:rsid w:val="0060051C"/>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C74"/>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C33"/>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7EF"/>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3B7"/>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38A"/>
    <w:rsid w:val="006C2585"/>
    <w:rsid w:val="006C28CB"/>
    <w:rsid w:val="006C2DA3"/>
    <w:rsid w:val="006C2F43"/>
    <w:rsid w:val="006C3092"/>
    <w:rsid w:val="006C3262"/>
    <w:rsid w:val="006C35FA"/>
    <w:rsid w:val="006C3B05"/>
    <w:rsid w:val="006C3B08"/>
    <w:rsid w:val="006C3B39"/>
    <w:rsid w:val="006C3E29"/>
    <w:rsid w:val="006C443B"/>
    <w:rsid w:val="006C44CA"/>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903"/>
    <w:rsid w:val="006F4AC1"/>
    <w:rsid w:val="006F4DE4"/>
    <w:rsid w:val="006F5245"/>
    <w:rsid w:val="006F53F8"/>
    <w:rsid w:val="006F58C6"/>
    <w:rsid w:val="006F5A3C"/>
    <w:rsid w:val="006F5B52"/>
    <w:rsid w:val="006F5CB1"/>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5D4"/>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13D"/>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E7"/>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5D1"/>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8C1"/>
    <w:rsid w:val="00797B8E"/>
    <w:rsid w:val="00797E30"/>
    <w:rsid w:val="00797F7E"/>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D9C"/>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3C8"/>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3D1"/>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3A6"/>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338"/>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34A"/>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22F"/>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718"/>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86D"/>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85C"/>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AE"/>
    <w:rsid w:val="00841DD6"/>
    <w:rsid w:val="00841F32"/>
    <w:rsid w:val="0084252C"/>
    <w:rsid w:val="00842B0D"/>
    <w:rsid w:val="00842D7E"/>
    <w:rsid w:val="00842F84"/>
    <w:rsid w:val="0084381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C90"/>
    <w:rsid w:val="008667AB"/>
    <w:rsid w:val="008667DD"/>
    <w:rsid w:val="00866A14"/>
    <w:rsid w:val="00866AEC"/>
    <w:rsid w:val="00866EA5"/>
    <w:rsid w:val="0086785B"/>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95"/>
    <w:rsid w:val="008906E8"/>
    <w:rsid w:val="008906F0"/>
    <w:rsid w:val="008909F9"/>
    <w:rsid w:val="00890B8E"/>
    <w:rsid w:val="00890C1C"/>
    <w:rsid w:val="00890EFE"/>
    <w:rsid w:val="008910D6"/>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5F98"/>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149"/>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1FBB"/>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A6"/>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3E7"/>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C12"/>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E4"/>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699"/>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2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AF"/>
    <w:rsid w:val="00A279C1"/>
    <w:rsid w:val="00A27B06"/>
    <w:rsid w:val="00A27B4B"/>
    <w:rsid w:val="00A27C4A"/>
    <w:rsid w:val="00A27C52"/>
    <w:rsid w:val="00A27EE4"/>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4CDE"/>
    <w:rsid w:val="00A34F72"/>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23"/>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AC4"/>
    <w:rsid w:val="00AA4CE5"/>
    <w:rsid w:val="00AA4D59"/>
    <w:rsid w:val="00AA4F11"/>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1FEE"/>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DE1"/>
    <w:rsid w:val="00AD3F0E"/>
    <w:rsid w:val="00AD4269"/>
    <w:rsid w:val="00AD4312"/>
    <w:rsid w:val="00AD4364"/>
    <w:rsid w:val="00AD4394"/>
    <w:rsid w:val="00AD4439"/>
    <w:rsid w:val="00AD4AF6"/>
    <w:rsid w:val="00AD4BE6"/>
    <w:rsid w:val="00AD5115"/>
    <w:rsid w:val="00AD6027"/>
    <w:rsid w:val="00AD6179"/>
    <w:rsid w:val="00AD6284"/>
    <w:rsid w:val="00AD62F6"/>
    <w:rsid w:val="00AD6734"/>
    <w:rsid w:val="00AD68C7"/>
    <w:rsid w:val="00AD6969"/>
    <w:rsid w:val="00AD6AD9"/>
    <w:rsid w:val="00AD6C69"/>
    <w:rsid w:val="00AD7450"/>
    <w:rsid w:val="00AD75CB"/>
    <w:rsid w:val="00AD7A1F"/>
    <w:rsid w:val="00AD7B55"/>
    <w:rsid w:val="00AD7B56"/>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03A"/>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72C"/>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5A9D"/>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1B15"/>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3D3"/>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63"/>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B67"/>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A3"/>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D06"/>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1DB3"/>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42"/>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536"/>
    <w:rsid w:val="00C4068C"/>
    <w:rsid w:val="00C409B4"/>
    <w:rsid w:val="00C40A56"/>
    <w:rsid w:val="00C40A78"/>
    <w:rsid w:val="00C40CF4"/>
    <w:rsid w:val="00C40FB1"/>
    <w:rsid w:val="00C411B4"/>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930"/>
    <w:rsid w:val="00C44D34"/>
    <w:rsid w:val="00C452EF"/>
    <w:rsid w:val="00C4544D"/>
    <w:rsid w:val="00C4556C"/>
    <w:rsid w:val="00C455E2"/>
    <w:rsid w:val="00C45659"/>
    <w:rsid w:val="00C45C52"/>
    <w:rsid w:val="00C45E4A"/>
    <w:rsid w:val="00C45EB9"/>
    <w:rsid w:val="00C461FC"/>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0E8"/>
    <w:rsid w:val="00C51D43"/>
    <w:rsid w:val="00C522AB"/>
    <w:rsid w:val="00C52307"/>
    <w:rsid w:val="00C5238F"/>
    <w:rsid w:val="00C52395"/>
    <w:rsid w:val="00C52CB1"/>
    <w:rsid w:val="00C52ED0"/>
    <w:rsid w:val="00C532CD"/>
    <w:rsid w:val="00C534F1"/>
    <w:rsid w:val="00C536CC"/>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3B0"/>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DFC"/>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397"/>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302"/>
    <w:rsid w:val="00D26A2B"/>
    <w:rsid w:val="00D26AD4"/>
    <w:rsid w:val="00D26BAE"/>
    <w:rsid w:val="00D271A5"/>
    <w:rsid w:val="00D27AC7"/>
    <w:rsid w:val="00D27BF3"/>
    <w:rsid w:val="00D27C20"/>
    <w:rsid w:val="00D27DDE"/>
    <w:rsid w:val="00D3019E"/>
    <w:rsid w:val="00D30431"/>
    <w:rsid w:val="00D3049B"/>
    <w:rsid w:val="00D3081A"/>
    <w:rsid w:val="00D308D3"/>
    <w:rsid w:val="00D30B98"/>
    <w:rsid w:val="00D31866"/>
    <w:rsid w:val="00D3188F"/>
    <w:rsid w:val="00D31A01"/>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142"/>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2EC"/>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BF6"/>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1B"/>
    <w:rsid w:val="00D97EDD"/>
    <w:rsid w:val="00D97FF4"/>
    <w:rsid w:val="00DA0468"/>
    <w:rsid w:val="00DA0FD7"/>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303"/>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4D0"/>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154"/>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18"/>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80146"/>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6F7"/>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2D9"/>
    <w:rsid w:val="00EC137B"/>
    <w:rsid w:val="00EC16BC"/>
    <w:rsid w:val="00EC1F38"/>
    <w:rsid w:val="00EC228D"/>
    <w:rsid w:val="00EC229C"/>
    <w:rsid w:val="00EC22F8"/>
    <w:rsid w:val="00EC2376"/>
    <w:rsid w:val="00EC2548"/>
    <w:rsid w:val="00EC266D"/>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7A6"/>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5791"/>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69A9"/>
    <w:rsid w:val="00F0721F"/>
    <w:rsid w:val="00F075F9"/>
    <w:rsid w:val="00F07649"/>
    <w:rsid w:val="00F07B85"/>
    <w:rsid w:val="00F07F5F"/>
    <w:rsid w:val="00F10054"/>
    <w:rsid w:val="00F1071C"/>
    <w:rsid w:val="00F10D20"/>
    <w:rsid w:val="00F110E7"/>
    <w:rsid w:val="00F1133F"/>
    <w:rsid w:val="00F11344"/>
    <w:rsid w:val="00F1137B"/>
    <w:rsid w:val="00F1142E"/>
    <w:rsid w:val="00F114B2"/>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3FE4"/>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A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53D"/>
    <w:rsid w:val="00F636D4"/>
    <w:rsid w:val="00F639EE"/>
    <w:rsid w:val="00F641FB"/>
    <w:rsid w:val="00F646C0"/>
    <w:rsid w:val="00F64812"/>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4EC"/>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64A"/>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4CE"/>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0EFB"/>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3E48"/>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17E1166"/>
    <w:rsid w:val="018514E9"/>
    <w:rsid w:val="02204A72"/>
    <w:rsid w:val="023B63C3"/>
    <w:rsid w:val="026E563A"/>
    <w:rsid w:val="0310478B"/>
    <w:rsid w:val="032016B7"/>
    <w:rsid w:val="032E088C"/>
    <w:rsid w:val="033B30AE"/>
    <w:rsid w:val="034728E2"/>
    <w:rsid w:val="03F87400"/>
    <w:rsid w:val="03FF53D8"/>
    <w:rsid w:val="04002878"/>
    <w:rsid w:val="042B3B27"/>
    <w:rsid w:val="052E3B81"/>
    <w:rsid w:val="053E675B"/>
    <w:rsid w:val="054A7083"/>
    <w:rsid w:val="056C274E"/>
    <w:rsid w:val="05A439CA"/>
    <w:rsid w:val="05CE0B59"/>
    <w:rsid w:val="05F467D5"/>
    <w:rsid w:val="06153556"/>
    <w:rsid w:val="062F2746"/>
    <w:rsid w:val="063167FC"/>
    <w:rsid w:val="06647CA3"/>
    <w:rsid w:val="06843231"/>
    <w:rsid w:val="06A47C47"/>
    <w:rsid w:val="06AA59AC"/>
    <w:rsid w:val="06AF6667"/>
    <w:rsid w:val="06BC6525"/>
    <w:rsid w:val="06D92C9B"/>
    <w:rsid w:val="06DD0134"/>
    <w:rsid w:val="06EA3847"/>
    <w:rsid w:val="06F9228B"/>
    <w:rsid w:val="072569DE"/>
    <w:rsid w:val="0728394D"/>
    <w:rsid w:val="07336188"/>
    <w:rsid w:val="073E4FD9"/>
    <w:rsid w:val="07686409"/>
    <w:rsid w:val="079A1B8C"/>
    <w:rsid w:val="08161095"/>
    <w:rsid w:val="085347E8"/>
    <w:rsid w:val="08990731"/>
    <w:rsid w:val="08A14BCF"/>
    <w:rsid w:val="08C85848"/>
    <w:rsid w:val="08CB78C8"/>
    <w:rsid w:val="0906064F"/>
    <w:rsid w:val="09096390"/>
    <w:rsid w:val="09B67622"/>
    <w:rsid w:val="09E26D1A"/>
    <w:rsid w:val="0A3C68FF"/>
    <w:rsid w:val="0A6D5379"/>
    <w:rsid w:val="0AB03AD5"/>
    <w:rsid w:val="0AE062D0"/>
    <w:rsid w:val="0B545948"/>
    <w:rsid w:val="0B564E9B"/>
    <w:rsid w:val="0B6F5769"/>
    <w:rsid w:val="0BF73AFE"/>
    <w:rsid w:val="0C3067A1"/>
    <w:rsid w:val="0C9D0B38"/>
    <w:rsid w:val="0D266067"/>
    <w:rsid w:val="0D355BBB"/>
    <w:rsid w:val="0D4769C6"/>
    <w:rsid w:val="0D657BD1"/>
    <w:rsid w:val="0D711102"/>
    <w:rsid w:val="0D8A5558"/>
    <w:rsid w:val="0DA40A51"/>
    <w:rsid w:val="0DBC53F4"/>
    <w:rsid w:val="0E3809C8"/>
    <w:rsid w:val="0EF377A7"/>
    <w:rsid w:val="0F5E192C"/>
    <w:rsid w:val="0F69004C"/>
    <w:rsid w:val="0F7650B3"/>
    <w:rsid w:val="0F891395"/>
    <w:rsid w:val="0F8B4E15"/>
    <w:rsid w:val="0F9A3B81"/>
    <w:rsid w:val="0FC51652"/>
    <w:rsid w:val="0FCA7866"/>
    <w:rsid w:val="1046556A"/>
    <w:rsid w:val="1059542B"/>
    <w:rsid w:val="10D748F2"/>
    <w:rsid w:val="10F36448"/>
    <w:rsid w:val="11285E51"/>
    <w:rsid w:val="115A5477"/>
    <w:rsid w:val="117F1DA0"/>
    <w:rsid w:val="11F75BDE"/>
    <w:rsid w:val="123B2B95"/>
    <w:rsid w:val="12584D88"/>
    <w:rsid w:val="126A56B1"/>
    <w:rsid w:val="12945F1E"/>
    <w:rsid w:val="12A94F14"/>
    <w:rsid w:val="131321A0"/>
    <w:rsid w:val="1341363F"/>
    <w:rsid w:val="13882AFA"/>
    <w:rsid w:val="139F0C44"/>
    <w:rsid w:val="14420627"/>
    <w:rsid w:val="144D30BB"/>
    <w:rsid w:val="144F2D9B"/>
    <w:rsid w:val="148202EB"/>
    <w:rsid w:val="14A6763A"/>
    <w:rsid w:val="151B639D"/>
    <w:rsid w:val="1528753C"/>
    <w:rsid w:val="157714B6"/>
    <w:rsid w:val="16606718"/>
    <w:rsid w:val="1683253C"/>
    <w:rsid w:val="16897CD4"/>
    <w:rsid w:val="16B81DEC"/>
    <w:rsid w:val="16D11143"/>
    <w:rsid w:val="178972C7"/>
    <w:rsid w:val="179877EC"/>
    <w:rsid w:val="17E575D5"/>
    <w:rsid w:val="17FD3E3D"/>
    <w:rsid w:val="1835615B"/>
    <w:rsid w:val="18423A1A"/>
    <w:rsid w:val="18515F8F"/>
    <w:rsid w:val="18750BD3"/>
    <w:rsid w:val="18792B67"/>
    <w:rsid w:val="18884B36"/>
    <w:rsid w:val="188B31CD"/>
    <w:rsid w:val="188D1E99"/>
    <w:rsid w:val="18F0757F"/>
    <w:rsid w:val="191B15FA"/>
    <w:rsid w:val="192E04F2"/>
    <w:rsid w:val="19657F30"/>
    <w:rsid w:val="19AB59B1"/>
    <w:rsid w:val="19DA292B"/>
    <w:rsid w:val="19F43CD7"/>
    <w:rsid w:val="1A165E35"/>
    <w:rsid w:val="1A635A6F"/>
    <w:rsid w:val="1AA07FAF"/>
    <w:rsid w:val="1AC67DB1"/>
    <w:rsid w:val="1ACE62DA"/>
    <w:rsid w:val="1AF0527E"/>
    <w:rsid w:val="1B262669"/>
    <w:rsid w:val="1B2F475B"/>
    <w:rsid w:val="1B67330B"/>
    <w:rsid w:val="1B714019"/>
    <w:rsid w:val="1BD30682"/>
    <w:rsid w:val="1BE81A79"/>
    <w:rsid w:val="1BFB6DCB"/>
    <w:rsid w:val="1C2C6CC3"/>
    <w:rsid w:val="1C467DB1"/>
    <w:rsid w:val="1C6566F8"/>
    <w:rsid w:val="1C71645F"/>
    <w:rsid w:val="1C753457"/>
    <w:rsid w:val="1CBF698F"/>
    <w:rsid w:val="1CD03485"/>
    <w:rsid w:val="1CD36A74"/>
    <w:rsid w:val="1D040361"/>
    <w:rsid w:val="1D2643DC"/>
    <w:rsid w:val="1D387E05"/>
    <w:rsid w:val="1D6723D0"/>
    <w:rsid w:val="1D8A7469"/>
    <w:rsid w:val="1D970AB7"/>
    <w:rsid w:val="1E074207"/>
    <w:rsid w:val="1E765BA3"/>
    <w:rsid w:val="1E854EF5"/>
    <w:rsid w:val="1E8A1752"/>
    <w:rsid w:val="1E8B77E3"/>
    <w:rsid w:val="1EA13671"/>
    <w:rsid w:val="1EEB6B7B"/>
    <w:rsid w:val="1F134BC9"/>
    <w:rsid w:val="1F6F629D"/>
    <w:rsid w:val="1FA83581"/>
    <w:rsid w:val="1FC11B90"/>
    <w:rsid w:val="20191124"/>
    <w:rsid w:val="203A61F2"/>
    <w:rsid w:val="20423BF5"/>
    <w:rsid w:val="2065066A"/>
    <w:rsid w:val="207F7337"/>
    <w:rsid w:val="20C27180"/>
    <w:rsid w:val="21090E4E"/>
    <w:rsid w:val="21094F89"/>
    <w:rsid w:val="21181627"/>
    <w:rsid w:val="217E6F50"/>
    <w:rsid w:val="2187600B"/>
    <w:rsid w:val="218C7899"/>
    <w:rsid w:val="21B618F3"/>
    <w:rsid w:val="22225F1D"/>
    <w:rsid w:val="230B1655"/>
    <w:rsid w:val="23133400"/>
    <w:rsid w:val="231E1545"/>
    <w:rsid w:val="235C1F24"/>
    <w:rsid w:val="238724B5"/>
    <w:rsid w:val="23B9276C"/>
    <w:rsid w:val="23C833CA"/>
    <w:rsid w:val="23E309E0"/>
    <w:rsid w:val="241E0169"/>
    <w:rsid w:val="243715C5"/>
    <w:rsid w:val="24394893"/>
    <w:rsid w:val="24614760"/>
    <w:rsid w:val="24661BA8"/>
    <w:rsid w:val="254C0281"/>
    <w:rsid w:val="254F53B2"/>
    <w:rsid w:val="256A6C11"/>
    <w:rsid w:val="25793126"/>
    <w:rsid w:val="25951A9B"/>
    <w:rsid w:val="25C2562C"/>
    <w:rsid w:val="261A7B52"/>
    <w:rsid w:val="26255B3C"/>
    <w:rsid w:val="26301F7E"/>
    <w:rsid w:val="263B3B15"/>
    <w:rsid w:val="264214D3"/>
    <w:rsid w:val="269E7021"/>
    <w:rsid w:val="26B43E10"/>
    <w:rsid w:val="26B909A0"/>
    <w:rsid w:val="26BE1A31"/>
    <w:rsid w:val="270744C1"/>
    <w:rsid w:val="27583987"/>
    <w:rsid w:val="27733199"/>
    <w:rsid w:val="281768E6"/>
    <w:rsid w:val="2841784D"/>
    <w:rsid w:val="2845430B"/>
    <w:rsid w:val="28F645D4"/>
    <w:rsid w:val="292E3C34"/>
    <w:rsid w:val="292F169C"/>
    <w:rsid w:val="293F4348"/>
    <w:rsid w:val="29457816"/>
    <w:rsid w:val="29495357"/>
    <w:rsid w:val="29AD725A"/>
    <w:rsid w:val="29B457D1"/>
    <w:rsid w:val="29BD5647"/>
    <w:rsid w:val="29D66648"/>
    <w:rsid w:val="29E44E1A"/>
    <w:rsid w:val="29F701AD"/>
    <w:rsid w:val="2A530BC4"/>
    <w:rsid w:val="2A563CBB"/>
    <w:rsid w:val="2A6061FA"/>
    <w:rsid w:val="2A9E7D3E"/>
    <w:rsid w:val="2ACD2377"/>
    <w:rsid w:val="2AD43AD9"/>
    <w:rsid w:val="2AE41477"/>
    <w:rsid w:val="2B7C4894"/>
    <w:rsid w:val="2B7D448A"/>
    <w:rsid w:val="2B7F36F4"/>
    <w:rsid w:val="2BC06237"/>
    <w:rsid w:val="2C0916A3"/>
    <w:rsid w:val="2C1B229F"/>
    <w:rsid w:val="2C467D54"/>
    <w:rsid w:val="2C4C356D"/>
    <w:rsid w:val="2C772E9D"/>
    <w:rsid w:val="2CCC5824"/>
    <w:rsid w:val="2CF12878"/>
    <w:rsid w:val="2D000850"/>
    <w:rsid w:val="2D365A9A"/>
    <w:rsid w:val="2D373649"/>
    <w:rsid w:val="2D6A081E"/>
    <w:rsid w:val="2D735F1A"/>
    <w:rsid w:val="2D870320"/>
    <w:rsid w:val="2D8D3577"/>
    <w:rsid w:val="2D973A2A"/>
    <w:rsid w:val="2D992B65"/>
    <w:rsid w:val="2D9B2C59"/>
    <w:rsid w:val="2E0E1ACA"/>
    <w:rsid w:val="2E706091"/>
    <w:rsid w:val="2EDD3E09"/>
    <w:rsid w:val="2EF945EE"/>
    <w:rsid w:val="2EFD7117"/>
    <w:rsid w:val="2F051A4F"/>
    <w:rsid w:val="2F0E29F7"/>
    <w:rsid w:val="2FDC166B"/>
    <w:rsid w:val="2FFA4F58"/>
    <w:rsid w:val="3026776F"/>
    <w:rsid w:val="305E4FEB"/>
    <w:rsid w:val="30B75A1B"/>
    <w:rsid w:val="30E00AF0"/>
    <w:rsid w:val="3130438D"/>
    <w:rsid w:val="32372C2C"/>
    <w:rsid w:val="326D2DBC"/>
    <w:rsid w:val="32B42531"/>
    <w:rsid w:val="32C33932"/>
    <w:rsid w:val="32E73297"/>
    <w:rsid w:val="33A07BE4"/>
    <w:rsid w:val="33C365B8"/>
    <w:rsid w:val="34201087"/>
    <w:rsid w:val="34662018"/>
    <w:rsid w:val="34922F2A"/>
    <w:rsid w:val="34BA6EF0"/>
    <w:rsid w:val="34C07706"/>
    <w:rsid w:val="34EF4346"/>
    <w:rsid w:val="350A79AB"/>
    <w:rsid w:val="35C43605"/>
    <w:rsid w:val="35E70DA6"/>
    <w:rsid w:val="35FF67DD"/>
    <w:rsid w:val="36350E27"/>
    <w:rsid w:val="364642F8"/>
    <w:rsid w:val="36B03928"/>
    <w:rsid w:val="36BC0669"/>
    <w:rsid w:val="36CD3903"/>
    <w:rsid w:val="379D4CFD"/>
    <w:rsid w:val="37B62A4C"/>
    <w:rsid w:val="37CA27B2"/>
    <w:rsid w:val="37E861C2"/>
    <w:rsid w:val="38777C43"/>
    <w:rsid w:val="38B5457A"/>
    <w:rsid w:val="38DA4706"/>
    <w:rsid w:val="38FE1BB2"/>
    <w:rsid w:val="391A2A30"/>
    <w:rsid w:val="396532C1"/>
    <w:rsid w:val="39CD0653"/>
    <w:rsid w:val="39F00BF1"/>
    <w:rsid w:val="39F3212E"/>
    <w:rsid w:val="3A397C16"/>
    <w:rsid w:val="3A5F4C48"/>
    <w:rsid w:val="3A6B24FF"/>
    <w:rsid w:val="3A860255"/>
    <w:rsid w:val="3ACD45DD"/>
    <w:rsid w:val="3AD75F11"/>
    <w:rsid w:val="3B4A729C"/>
    <w:rsid w:val="3B4E60AE"/>
    <w:rsid w:val="3B7437CF"/>
    <w:rsid w:val="3B744750"/>
    <w:rsid w:val="3BC12354"/>
    <w:rsid w:val="3BEB40FE"/>
    <w:rsid w:val="3C214699"/>
    <w:rsid w:val="3C374482"/>
    <w:rsid w:val="3C6F003A"/>
    <w:rsid w:val="3CCE1F97"/>
    <w:rsid w:val="3CFB515E"/>
    <w:rsid w:val="3D012483"/>
    <w:rsid w:val="3D605650"/>
    <w:rsid w:val="3D7122FE"/>
    <w:rsid w:val="3D9D73F7"/>
    <w:rsid w:val="3DB8684C"/>
    <w:rsid w:val="3DCC3A97"/>
    <w:rsid w:val="3E1627CF"/>
    <w:rsid w:val="3E997BFF"/>
    <w:rsid w:val="3EE17330"/>
    <w:rsid w:val="3EED057B"/>
    <w:rsid w:val="3F033EB5"/>
    <w:rsid w:val="3FF15F9A"/>
    <w:rsid w:val="40454332"/>
    <w:rsid w:val="407836D3"/>
    <w:rsid w:val="409961DC"/>
    <w:rsid w:val="409A69D6"/>
    <w:rsid w:val="40A33857"/>
    <w:rsid w:val="40AD2440"/>
    <w:rsid w:val="41792933"/>
    <w:rsid w:val="423E0EBE"/>
    <w:rsid w:val="42A0166A"/>
    <w:rsid w:val="42B54BC9"/>
    <w:rsid w:val="431079A8"/>
    <w:rsid w:val="43415B6D"/>
    <w:rsid w:val="435E1BBE"/>
    <w:rsid w:val="43821535"/>
    <w:rsid w:val="438C48E7"/>
    <w:rsid w:val="43AA72ED"/>
    <w:rsid w:val="43B6192F"/>
    <w:rsid w:val="43DA7A6B"/>
    <w:rsid w:val="440B09CE"/>
    <w:rsid w:val="443B01A7"/>
    <w:rsid w:val="44DC2B5F"/>
    <w:rsid w:val="452E68D9"/>
    <w:rsid w:val="45306F77"/>
    <w:rsid w:val="45801C85"/>
    <w:rsid w:val="45E515FD"/>
    <w:rsid w:val="463B43E1"/>
    <w:rsid w:val="46934726"/>
    <w:rsid w:val="469A0F01"/>
    <w:rsid w:val="46DD2039"/>
    <w:rsid w:val="46E131E3"/>
    <w:rsid w:val="47140D77"/>
    <w:rsid w:val="471B1465"/>
    <w:rsid w:val="47BB3440"/>
    <w:rsid w:val="47E25479"/>
    <w:rsid w:val="47E905B6"/>
    <w:rsid w:val="47FA603D"/>
    <w:rsid w:val="482D730C"/>
    <w:rsid w:val="485328E8"/>
    <w:rsid w:val="489830A8"/>
    <w:rsid w:val="48F54AA4"/>
    <w:rsid w:val="48FD7139"/>
    <w:rsid w:val="490B5559"/>
    <w:rsid w:val="49640E85"/>
    <w:rsid w:val="49C54FB5"/>
    <w:rsid w:val="4A423BAD"/>
    <w:rsid w:val="4A856F39"/>
    <w:rsid w:val="4AED005E"/>
    <w:rsid w:val="4B3D0D66"/>
    <w:rsid w:val="4B67256D"/>
    <w:rsid w:val="4B7E13CA"/>
    <w:rsid w:val="4BB22716"/>
    <w:rsid w:val="4BF70576"/>
    <w:rsid w:val="4C214DC1"/>
    <w:rsid w:val="4C44316F"/>
    <w:rsid w:val="4C925FBE"/>
    <w:rsid w:val="4C937241"/>
    <w:rsid w:val="4CAF7524"/>
    <w:rsid w:val="4CB81CDB"/>
    <w:rsid w:val="4CEA6683"/>
    <w:rsid w:val="4CEE6A84"/>
    <w:rsid w:val="4D26470D"/>
    <w:rsid w:val="4D931670"/>
    <w:rsid w:val="4D9D7463"/>
    <w:rsid w:val="4DA66DF2"/>
    <w:rsid w:val="4E133AD3"/>
    <w:rsid w:val="4E292CDB"/>
    <w:rsid w:val="4E366807"/>
    <w:rsid w:val="4E531631"/>
    <w:rsid w:val="4EB23368"/>
    <w:rsid w:val="4EC80D34"/>
    <w:rsid w:val="4F021642"/>
    <w:rsid w:val="4F062522"/>
    <w:rsid w:val="4F124C8D"/>
    <w:rsid w:val="4F2014BA"/>
    <w:rsid w:val="4F2E72F4"/>
    <w:rsid w:val="4F3E1947"/>
    <w:rsid w:val="4F5328C2"/>
    <w:rsid w:val="4FC5592F"/>
    <w:rsid w:val="4FCD53A2"/>
    <w:rsid w:val="4FCF3A50"/>
    <w:rsid w:val="4FD761D5"/>
    <w:rsid w:val="4FEC44EB"/>
    <w:rsid w:val="50A56B0F"/>
    <w:rsid w:val="50C12C3D"/>
    <w:rsid w:val="50C7092F"/>
    <w:rsid w:val="51412A24"/>
    <w:rsid w:val="51535E50"/>
    <w:rsid w:val="51575805"/>
    <w:rsid w:val="516A2B6B"/>
    <w:rsid w:val="518A163F"/>
    <w:rsid w:val="51C64593"/>
    <w:rsid w:val="51D17082"/>
    <w:rsid w:val="521F583C"/>
    <w:rsid w:val="523B5BC2"/>
    <w:rsid w:val="52850885"/>
    <w:rsid w:val="52FD7858"/>
    <w:rsid w:val="52FF77EE"/>
    <w:rsid w:val="535009CC"/>
    <w:rsid w:val="535154A7"/>
    <w:rsid w:val="53850FB2"/>
    <w:rsid w:val="53C971BA"/>
    <w:rsid w:val="541524CD"/>
    <w:rsid w:val="545976BF"/>
    <w:rsid w:val="54795C7E"/>
    <w:rsid w:val="54B466C8"/>
    <w:rsid w:val="555A6458"/>
    <w:rsid w:val="557409DC"/>
    <w:rsid w:val="5589777F"/>
    <w:rsid w:val="559F32DB"/>
    <w:rsid w:val="55A05932"/>
    <w:rsid w:val="55E42FA4"/>
    <w:rsid w:val="56084843"/>
    <w:rsid w:val="56282493"/>
    <w:rsid w:val="56392FD2"/>
    <w:rsid w:val="568874CE"/>
    <w:rsid w:val="568D3588"/>
    <w:rsid w:val="56BF603B"/>
    <w:rsid w:val="56D5188C"/>
    <w:rsid w:val="56E322E1"/>
    <w:rsid w:val="56FD047F"/>
    <w:rsid w:val="57376FBE"/>
    <w:rsid w:val="57963D81"/>
    <w:rsid w:val="57963E56"/>
    <w:rsid w:val="57A62EAD"/>
    <w:rsid w:val="57CD25CE"/>
    <w:rsid w:val="57E21F19"/>
    <w:rsid w:val="58A5600E"/>
    <w:rsid w:val="58B61FA2"/>
    <w:rsid w:val="591D295D"/>
    <w:rsid w:val="59465348"/>
    <w:rsid w:val="5B076556"/>
    <w:rsid w:val="5B081B2D"/>
    <w:rsid w:val="5B162869"/>
    <w:rsid w:val="5B320812"/>
    <w:rsid w:val="5BB90294"/>
    <w:rsid w:val="5BED6CE2"/>
    <w:rsid w:val="5C195ADB"/>
    <w:rsid w:val="5C270B5A"/>
    <w:rsid w:val="5C596864"/>
    <w:rsid w:val="5CC3643D"/>
    <w:rsid w:val="5CCC52B2"/>
    <w:rsid w:val="5D237453"/>
    <w:rsid w:val="5D677890"/>
    <w:rsid w:val="5D8238FE"/>
    <w:rsid w:val="5D8C6EBF"/>
    <w:rsid w:val="5DAC07DC"/>
    <w:rsid w:val="5DBC7BD9"/>
    <w:rsid w:val="5DE1789F"/>
    <w:rsid w:val="5DEE728C"/>
    <w:rsid w:val="5DFA5220"/>
    <w:rsid w:val="5DFA6B87"/>
    <w:rsid w:val="5E401669"/>
    <w:rsid w:val="5E6B678A"/>
    <w:rsid w:val="5ED4009B"/>
    <w:rsid w:val="5EE7495D"/>
    <w:rsid w:val="5F0F2F37"/>
    <w:rsid w:val="5F185822"/>
    <w:rsid w:val="5F233F24"/>
    <w:rsid w:val="5F6153BB"/>
    <w:rsid w:val="5F8C5F9E"/>
    <w:rsid w:val="601D49E2"/>
    <w:rsid w:val="60635EE8"/>
    <w:rsid w:val="606E1EDA"/>
    <w:rsid w:val="607E463E"/>
    <w:rsid w:val="608532A6"/>
    <w:rsid w:val="60AF3DB6"/>
    <w:rsid w:val="60FA7964"/>
    <w:rsid w:val="613827C8"/>
    <w:rsid w:val="616B0D5E"/>
    <w:rsid w:val="61C00531"/>
    <w:rsid w:val="62203EE1"/>
    <w:rsid w:val="62443E46"/>
    <w:rsid w:val="625128FC"/>
    <w:rsid w:val="6298104B"/>
    <w:rsid w:val="62A17850"/>
    <w:rsid w:val="62BB4CB6"/>
    <w:rsid w:val="62C46EE5"/>
    <w:rsid w:val="63073538"/>
    <w:rsid w:val="6317621B"/>
    <w:rsid w:val="635E1D55"/>
    <w:rsid w:val="637272BC"/>
    <w:rsid w:val="639C0AED"/>
    <w:rsid w:val="63AA6A15"/>
    <w:rsid w:val="63C21D26"/>
    <w:rsid w:val="643844C1"/>
    <w:rsid w:val="64C3423A"/>
    <w:rsid w:val="64DF46E5"/>
    <w:rsid w:val="656A3512"/>
    <w:rsid w:val="657945EA"/>
    <w:rsid w:val="658A4929"/>
    <w:rsid w:val="659C73AD"/>
    <w:rsid w:val="65B53114"/>
    <w:rsid w:val="65ED2A1B"/>
    <w:rsid w:val="65F5475C"/>
    <w:rsid w:val="65FF0840"/>
    <w:rsid w:val="66060E59"/>
    <w:rsid w:val="660A4813"/>
    <w:rsid w:val="66AC02EF"/>
    <w:rsid w:val="66AE226F"/>
    <w:rsid w:val="678925BA"/>
    <w:rsid w:val="67A6773B"/>
    <w:rsid w:val="67F50255"/>
    <w:rsid w:val="682E1E99"/>
    <w:rsid w:val="68443288"/>
    <w:rsid w:val="688C3EFE"/>
    <w:rsid w:val="68F45EE6"/>
    <w:rsid w:val="68F81D57"/>
    <w:rsid w:val="69131DE7"/>
    <w:rsid w:val="694F6E53"/>
    <w:rsid w:val="699C5AC0"/>
    <w:rsid w:val="69FC4F72"/>
    <w:rsid w:val="6A8C7A80"/>
    <w:rsid w:val="6ABC3835"/>
    <w:rsid w:val="6AC11E53"/>
    <w:rsid w:val="6ADA53CD"/>
    <w:rsid w:val="6B106767"/>
    <w:rsid w:val="6B431208"/>
    <w:rsid w:val="6B607C90"/>
    <w:rsid w:val="6B723B44"/>
    <w:rsid w:val="6BC5014E"/>
    <w:rsid w:val="6C3B499A"/>
    <w:rsid w:val="6C400016"/>
    <w:rsid w:val="6C766527"/>
    <w:rsid w:val="6CB43ACA"/>
    <w:rsid w:val="6CCE5E30"/>
    <w:rsid w:val="6CD526A0"/>
    <w:rsid w:val="6D041495"/>
    <w:rsid w:val="6D2B0E24"/>
    <w:rsid w:val="6D6B65F4"/>
    <w:rsid w:val="6D951A00"/>
    <w:rsid w:val="6DC47760"/>
    <w:rsid w:val="6DD6199E"/>
    <w:rsid w:val="6E3D6EF7"/>
    <w:rsid w:val="6E6318E6"/>
    <w:rsid w:val="6EA26672"/>
    <w:rsid w:val="6EBE180C"/>
    <w:rsid w:val="6ECA6BC1"/>
    <w:rsid w:val="6ED726E3"/>
    <w:rsid w:val="6EEC3703"/>
    <w:rsid w:val="6EFB4D74"/>
    <w:rsid w:val="6F3F526C"/>
    <w:rsid w:val="6FAF76B7"/>
    <w:rsid w:val="6FFB60CB"/>
    <w:rsid w:val="70082791"/>
    <w:rsid w:val="70241D4E"/>
    <w:rsid w:val="7053588B"/>
    <w:rsid w:val="70852B02"/>
    <w:rsid w:val="709A320E"/>
    <w:rsid w:val="70E54E2D"/>
    <w:rsid w:val="710F1C73"/>
    <w:rsid w:val="711C55FB"/>
    <w:rsid w:val="714E369E"/>
    <w:rsid w:val="719955D4"/>
    <w:rsid w:val="71D906FC"/>
    <w:rsid w:val="71FA0075"/>
    <w:rsid w:val="72026E5C"/>
    <w:rsid w:val="721C217C"/>
    <w:rsid w:val="72CA0DDA"/>
    <w:rsid w:val="72E56680"/>
    <w:rsid w:val="730155C6"/>
    <w:rsid w:val="73146662"/>
    <w:rsid w:val="737A7DC2"/>
    <w:rsid w:val="73B64662"/>
    <w:rsid w:val="73F37195"/>
    <w:rsid w:val="747E6B03"/>
    <w:rsid w:val="74996745"/>
    <w:rsid w:val="74D131EA"/>
    <w:rsid w:val="750F5791"/>
    <w:rsid w:val="755002B7"/>
    <w:rsid w:val="75597EAB"/>
    <w:rsid w:val="756E095B"/>
    <w:rsid w:val="757342E4"/>
    <w:rsid w:val="75810F02"/>
    <w:rsid w:val="75923D16"/>
    <w:rsid w:val="75BF376D"/>
    <w:rsid w:val="768502A5"/>
    <w:rsid w:val="77225AD2"/>
    <w:rsid w:val="7740416E"/>
    <w:rsid w:val="776F156C"/>
    <w:rsid w:val="77944D3E"/>
    <w:rsid w:val="78220ADF"/>
    <w:rsid w:val="78436B85"/>
    <w:rsid w:val="78443346"/>
    <w:rsid w:val="784A49FB"/>
    <w:rsid w:val="7858071D"/>
    <w:rsid w:val="785C0913"/>
    <w:rsid w:val="788F5AC6"/>
    <w:rsid w:val="78DD4E0E"/>
    <w:rsid w:val="792E2FE7"/>
    <w:rsid w:val="79A64F84"/>
    <w:rsid w:val="79B745C6"/>
    <w:rsid w:val="79C770F7"/>
    <w:rsid w:val="7A3F43E6"/>
    <w:rsid w:val="7A674C36"/>
    <w:rsid w:val="7ABC6D2F"/>
    <w:rsid w:val="7AE51C13"/>
    <w:rsid w:val="7AE83ABA"/>
    <w:rsid w:val="7B1812F9"/>
    <w:rsid w:val="7B6C672B"/>
    <w:rsid w:val="7B8B72B2"/>
    <w:rsid w:val="7BD23232"/>
    <w:rsid w:val="7BEC3212"/>
    <w:rsid w:val="7BF5313C"/>
    <w:rsid w:val="7C32269D"/>
    <w:rsid w:val="7C9D7E92"/>
    <w:rsid w:val="7D0209D3"/>
    <w:rsid w:val="7D321335"/>
    <w:rsid w:val="7D8B51E9"/>
    <w:rsid w:val="7D994B05"/>
    <w:rsid w:val="7DBF6D97"/>
    <w:rsid w:val="7E21482D"/>
    <w:rsid w:val="7E4F1A65"/>
    <w:rsid w:val="7E977D02"/>
    <w:rsid w:val="7F007474"/>
    <w:rsid w:val="7F2D567C"/>
    <w:rsid w:val="7F485B22"/>
    <w:rsid w:val="7F53572E"/>
    <w:rsid w:val="7F541B50"/>
    <w:rsid w:val="7F636B22"/>
    <w:rsid w:val="7F7E4DEB"/>
    <w:rsid w:val="7FAA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039815-EEFA-44C5-9033-F218AD19A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iPriority="0"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numPr>
        <w:ilvl w:val="1"/>
        <w:numId w:val="1"/>
      </w:numPr>
      <w:spacing w:before="120" w:after="120" w:line="360" w:lineRule="auto"/>
      <w:ind w:left="454" w:hanging="170"/>
      <w:outlineLvl w:val="1"/>
    </w:pPr>
    <w:rPr>
      <w:rFonts w:ascii="Arial" w:hAnsi="Arial"/>
      <w:b/>
      <w:bCs/>
      <w:sz w:val="24"/>
      <w:szCs w:val="28"/>
    </w:rPr>
  </w:style>
  <w:style w:type="paragraph" w:styleId="3">
    <w:name w:val="heading 3"/>
    <w:basedOn w:val="a"/>
    <w:next w:val="a"/>
    <w:link w:val="3Char"/>
    <w:uiPriority w:val="9"/>
    <w:unhideWhenUsed/>
    <w:qFormat/>
    <w:pPr>
      <w:keepNext/>
      <w:keepLines/>
      <w:spacing w:before="260" w:after="260" w:line="416" w:lineRule="auto"/>
      <w:outlineLvl w:val="2"/>
    </w:pPr>
    <w:rPr>
      <w:rFonts w:eastAsia="Batang"/>
      <w:b/>
      <w:bCs/>
      <w:sz w:val="21"/>
      <w:szCs w:val="32"/>
    </w:rPr>
  </w:style>
  <w:style w:type="paragraph" w:styleId="4">
    <w:name w:val="heading 4"/>
    <w:basedOn w:val="a"/>
    <w:next w:val="a"/>
    <w:link w:val="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0"/>
    <w:semiHidden/>
    <w:qFormat/>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table" w:styleId="af5">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7">
    <w:name w:val="批注框文本 Char"/>
    <w:link w:val="ac"/>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rFonts w:eastAsia="Batang"/>
      <w:b/>
      <w:bCs/>
      <w:sz w:val="21"/>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rPr>
      <w:rFonts w:ascii="Calibri"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link w:val="a9"/>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f"/>
    <w:link w:val="B10"/>
    <w:qFormat/>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0">
    <w:name w:val="列出段落2"/>
    <w:basedOn w:val="a"/>
    <w:uiPriority w:val="99"/>
    <w:unhideWhenUsed/>
    <w:qFormat/>
    <w:pPr>
      <w:ind w:firstLineChars="200" w:firstLine="420"/>
    </w:pPr>
  </w:style>
  <w:style w:type="paragraph" w:customStyle="1" w:styleId="30">
    <w:name w:val="列出段落3"/>
    <w:basedOn w:val="a"/>
    <w:uiPriority w:val="99"/>
    <w:qFormat/>
    <w:pPr>
      <w:ind w:left="720"/>
      <w:contextualSpacing/>
    </w:pPr>
  </w:style>
  <w:style w:type="paragraph" w:customStyle="1" w:styleId="Style1">
    <w:name w:val="_Style 1"/>
    <w:basedOn w:val="a"/>
    <w:uiPriority w:val="34"/>
    <w:qFormat/>
    <w:pPr>
      <w:ind w:leftChars="400" w:left="840"/>
    </w:pPr>
  </w:style>
  <w:style w:type="paragraph" w:customStyle="1" w:styleId="Style2">
    <w:name w:val="_Style 2"/>
    <w:basedOn w:val="a"/>
    <w:uiPriority w:val="34"/>
    <w:qFormat/>
    <w:pPr>
      <w:ind w:leftChars="400" w:left="840"/>
    </w:pPr>
  </w:style>
  <w:style w:type="paragraph" w:styleId="af7">
    <w:name w:val="List Paragraph"/>
    <w:basedOn w:val="a"/>
    <w:uiPriority w:val="99"/>
    <w:qFormat/>
    <w:pPr>
      <w:ind w:firstLineChars="200" w:firstLine="420"/>
    </w:p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rPr>
  </w:style>
  <w:style w:type="paragraph" w:customStyle="1" w:styleId="3GPPHeader">
    <w:name w:val="3GPP_Header"/>
    <w:basedOn w:val="a8"/>
    <w:qFormat/>
    <w:pPr>
      <w:tabs>
        <w:tab w:val="left" w:pos="1701"/>
        <w:tab w:val="right" w:pos="9639"/>
      </w:tabs>
      <w:spacing w:after="240"/>
    </w:pPr>
    <w:rPr>
      <w:b/>
      <w:sz w:val="24"/>
    </w:rPr>
  </w:style>
  <w:style w:type="character" w:customStyle="1" w:styleId="IvDbodytextChar">
    <w:name w:val="IvD bodytext Char"/>
    <w:link w:val="IvDbodytext"/>
    <w:qFormat/>
    <w:rPr>
      <w:rFonts w:ascii="Arial" w:eastAsia="Malgun Gothic" w:hAnsi="Arial"/>
      <w:spacing w:val="2"/>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rPr>
  </w:style>
  <w:style w:type="character" w:customStyle="1" w:styleId="ProposalChar">
    <w:name w:val="Proposal Char"/>
    <w:link w:val="Proposal"/>
    <w:qFormat/>
    <w:rPr>
      <w:rFonts w:ascii="Times New Roman" w:eastAsia="Times New Roman" w:hAnsi="Times New Roman"/>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oleObject" Target="embeddings/oleObject1.bin"/><Relationship Id="rId39" Type="http://schemas.openxmlformats.org/officeDocument/2006/relationships/theme" Target="theme/theme1.xml"/><Relationship Id="rId21" Type="http://schemas.openxmlformats.org/officeDocument/2006/relationships/image" Target="media/image15.emf"/><Relationship Id="rId34" Type="http://schemas.openxmlformats.org/officeDocument/2006/relationships/oleObject" Target="embeddings/oleObject6.bin"/><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image" Target="media/image19.wmf"/><Relationship Id="rId33" Type="http://schemas.openxmlformats.org/officeDocument/2006/relationships/oleObject" Target="embeddings/oleObject5.bin"/><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0.emf"/><Relationship Id="rId20" Type="http://schemas.openxmlformats.org/officeDocument/2006/relationships/image" Target="media/image14.emf"/><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emf"/><Relationship Id="rId24" Type="http://schemas.openxmlformats.org/officeDocument/2006/relationships/image" Target="media/image18.jpeg"/><Relationship Id="rId32" Type="http://schemas.openxmlformats.org/officeDocument/2006/relationships/image" Target="media/image22.wmf"/><Relationship Id="rId37"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9.emf"/><Relationship Id="rId23" Type="http://schemas.openxmlformats.org/officeDocument/2006/relationships/image" Target="media/image17.jpeg"/><Relationship Id="rId28" Type="http://schemas.openxmlformats.org/officeDocument/2006/relationships/oleObject" Target="embeddings/oleObject2.bin"/><Relationship Id="rId36" Type="http://schemas.openxmlformats.org/officeDocument/2006/relationships/oleObject" Target="embeddings/oleObject8.bin"/><Relationship Id="rId10" Type="http://schemas.openxmlformats.org/officeDocument/2006/relationships/image" Target="media/image4.emf"/><Relationship Id="rId19" Type="http://schemas.openxmlformats.org/officeDocument/2006/relationships/image" Target="media/image13.emf"/><Relationship Id="rId31"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image" Target="media/image16.jpeg"/><Relationship Id="rId27" Type="http://schemas.openxmlformats.org/officeDocument/2006/relationships/image" Target="media/image20.wmf"/><Relationship Id="rId30" Type="http://schemas.openxmlformats.org/officeDocument/2006/relationships/image" Target="media/image21.wmf"/><Relationship Id="rId35" Type="http://schemas.openxmlformats.org/officeDocument/2006/relationships/oleObject" Target="embeddings/oleObject7.bin"/><Relationship Id="rId8" Type="http://schemas.openxmlformats.org/officeDocument/2006/relationships/image" Target="media/image2.emf"/><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4A0A74-77B8-4ADA-85FE-6CDF0F902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1645</TotalTime>
  <Pages>7</Pages>
  <Words>1401</Words>
  <Characters>7986</Characters>
  <Application>Microsoft Office Word</Application>
  <DocSecurity>0</DocSecurity>
  <Lines>66</Lines>
  <Paragraphs>18</Paragraphs>
  <ScaleCrop>false</ScaleCrop>
  <Company>HP</Company>
  <LinksUpToDate>false</LinksUpToDate>
  <CharactersWithSpaces>9369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13</cp:revision>
  <dcterms:created xsi:type="dcterms:W3CDTF">2019-03-29T07:31:00Z</dcterms:created>
  <dcterms:modified xsi:type="dcterms:W3CDTF">2019-10-04T03:20:00Z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